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5F" w:rsidRPr="001A757A" w:rsidRDefault="00B3705F" w:rsidP="00B3705F">
      <w:pPr>
        <w:widowControl/>
        <w:spacing w:line="590" w:lineRule="exact"/>
        <w:jc w:val="left"/>
        <w:rPr>
          <w:rFonts w:ascii="方正黑体_GBK" w:eastAsia="方正黑体_GBK" w:hAnsi="黑体" w:cs="黑体"/>
          <w:snapToGrid w:val="0"/>
          <w:kern w:val="0"/>
          <w:sz w:val="32"/>
          <w:szCs w:val="32"/>
        </w:rPr>
      </w:pPr>
      <w:r w:rsidRPr="001A757A">
        <w:rPr>
          <w:rFonts w:ascii="方正黑体_GBK" w:eastAsia="方正黑体_GBK" w:hAnsi="黑体" w:cs="黑体" w:hint="eastAsia"/>
          <w:snapToGrid w:val="0"/>
          <w:kern w:val="0"/>
          <w:sz w:val="32"/>
          <w:szCs w:val="32"/>
        </w:rPr>
        <w:t>附件1</w:t>
      </w:r>
    </w:p>
    <w:p w:rsidR="00B3705F" w:rsidRPr="00727800" w:rsidRDefault="00B3705F" w:rsidP="00B3705F">
      <w:pPr>
        <w:spacing w:line="590" w:lineRule="exact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</w:p>
    <w:p w:rsidR="00B3705F" w:rsidRPr="00727800" w:rsidRDefault="00B3705F" w:rsidP="00B3705F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bookmarkStart w:id="0" w:name="_GoBack"/>
      <w:r w:rsidRPr="00727800"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机构要求</w:t>
      </w:r>
    </w:p>
    <w:bookmarkEnd w:id="0"/>
    <w:p w:rsidR="00B3705F" w:rsidRPr="00727800" w:rsidRDefault="00B3705F" w:rsidP="00B3705F">
      <w:pPr>
        <w:spacing w:line="590" w:lineRule="exact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</w:p>
    <w:p w:rsidR="00B3705F" w:rsidRPr="00727800" w:rsidRDefault="00B3705F" w:rsidP="00B3705F">
      <w:pPr>
        <w:spacing w:line="590" w:lineRule="exact"/>
        <w:ind w:firstLineChars="200" w:firstLine="640"/>
        <w:rPr>
          <w:rFonts w:ascii="方正黑体_GBK" w:eastAsia="方正黑体_GBK" w:hAnsi="Times New Roman" w:cs="黑体"/>
          <w:snapToGrid w:val="0"/>
          <w:kern w:val="0"/>
          <w:sz w:val="32"/>
          <w:szCs w:val="32"/>
        </w:rPr>
      </w:pPr>
      <w:r w:rsidRPr="00727800">
        <w:rPr>
          <w:rFonts w:ascii="方正黑体_GBK" w:eastAsia="方正黑体_GBK" w:hAnsi="Times New Roman" w:cs="黑体" w:hint="eastAsia"/>
          <w:snapToGrid w:val="0"/>
          <w:kern w:val="0"/>
          <w:sz w:val="32"/>
          <w:szCs w:val="32"/>
        </w:rPr>
        <w:t>一、提供机构服务的养老机构（长期服务、喘息服务、日间托养）</w:t>
      </w:r>
    </w:p>
    <w:p w:rsidR="00B3705F" w:rsidRPr="00727800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楷体_GB2312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（一）</w:t>
      </w:r>
      <w:r w:rsidRPr="001A757A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依法办理登记并在民政部门备案，承诺严格执行法律法规及《养老机构服务安全基本规范》（</w:t>
      </w:r>
      <w:r w:rsidRPr="00727800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GB38600</w:t>
      </w:r>
      <w:r w:rsidRPr="00727800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—</w:t>
      </w:r>
      <w:r w:rsidRPr="00727800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2019</w:t>
      </w:r>
      <w:r w:rsidRPr="00727800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）等强制性标准要求；</w:t>
      </w:r>
    </w:p>
    <w:p w:rsidR="00B3705F" w:rsidRPr="00727800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楷体_GB2312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（二）</w:t>
      </w:r>
      <w:r w:rsidRPr="001A757A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具有收住中度及以上失能老年人的服务能力（是指具备足够的护理型床位，采取养老机构内设医疗卫生机构、医疗卫生机构开展养老服务或养老机构、医疗卫生机构签约合作等方式提供医养结合服务）；</w:t>
      </w:r>
    </w:p>
    <w:p w:rsidR="00B3705F" w:rsidRPr="001A757A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（三）</w:t>
      </w:r>
      <w:r w:rsidRPr="001A757A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自愿参与、信誉良好，近一年内未被纳入失信联合惩戒对象名单</w:t>
      </w:r>
      <w:r w:rsidRPr="00727800">
        <w:rPr>
          <w:rFonts w:ascii="Times New Roman" w:eastAsia="方正仿宋_GBK" w:hAnsi="Times New Roman"/>
          <w:snapToGrid w:val="0"/>
          <w:kern w:val="0"/>
          <w:sz w:val="32"/>
          <w:szCs w:val="32"/>
        </w:rPr>
        <w:t>、人民法院失信被执行人名单，服务过程中未发生重大安全事故或服务对象群体投诉信访事件</w:t>
      </w:r>
      <w:r w:rsidRPr="00727800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；</w:t>
      </w:r>
    </w:p>
    <w:p w:rsidR="00B3705F" w:rsidRPr="001A757A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楷体_GB2312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（四）</w:t>
      </w:r>
      <w:r w:rsidRPr="001A757A">
        <w:rPr>
          <w:rFonts w:ascii="Times New Roman" w:eastAsia="方正仿宋_GBK" w:hAnsi="Times New Roman" w:cs="楷体_GB2312" w:hint="eastAsia"/>
          <w:snapToGrid w:val="0"/>
          <w:kern w:val="0"/>
          <w:sz w:val="32"/>
          <w:szCs w:val="32"/>
        </w:rPr>
        <w:t>设区市民政部门认定的应具备的其他条件。</w:t>
      </w:r>
    </w:p>
    <w:p w:rsidR="00B3705F" w:rsidRPr="00727800" w:rsidRDefault="00B3705F" w:rsidP="00B3705F">
      <w:pPr>
        <w:spacing w:line="590" w:lineRule="exact"/>
        <w:ind w:firstLineChars="200" w:firstLine="640"/>
        <w:rPr>
          <w:rFonts w:ascii="方正黑体_GBK" w:eastAsia="方正黑体_GBK" w:hAnsi="Times New Roman" w:cs="黑体"/>
          <w:snapToGrid w:val="0"/>
          <w:kern w:val="0"/>
          <w:sz w:val="32"/>
          <w:szCs w:val="32"/>
        </w:rPr>
      </w:pPr>
      <w:r w:rsidRPr="00727800">
        <w:rPr>
          <w:rFonts w:ascii="方正黑体_GBK" w:eastAsia="方正黑体_GBK" w:hAnsi="Times New Roman" w:cs="黑体" w:hint="eastAsia"/>
          <w:snapToGrid w:val="0"/>
          <w:kern w:val="0"/>
          <w:sz w:val="32"/>
          <w:szCs w:val="32"/>
        </w:rPr>
        <w:t>二、提供社区服务的社区养老服务机构（喘息服务、日间托养）</w:t>
      </w:r>
    </w:p>
    <w:p w:rsidR="00B3705F" w:rsidRPr="001A757A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32"/>
        </w:rPr>
      </w:pPr>
      <w:r>
        <w:rPr>
          <w:rFonts w:eastAsia="方正仿宋_GBK" w:cs="仿宋_GB2312" w:hint="eastAsia"/>
          <w:snapToGrid w:val="0"/>
          <w:kern w:val="0"/>
          <w:sz w:val="32"/>
          <w:szCs w:val="32"/>
        </w:rPr>
        <w:t>（一）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32"/>
        </w:rPr>
        <w:t>依法办理登记，经营范围或业务范围包括养老服务；</w:t>
      </w:r>
    </w:p>
    <w:p w:rsidR="00B3705F" w:rsidRPr="001A757A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32"/>
        </w:rPr>
      </w:pPr>
      <w:r>
        <w:rPr>
          <w:rFonts w:eastAsia="方正仿宋_GBK" w:cs="仿宋_GB2312" w:hint="eastAsia"/>
          <w:snapToGrid w:val="0"/>
          <w:kern w:val="0"/>
          <w:sz w:val="32"/>
          <w:szCs w:val="32"/>
        </w:rPr>
        <w:t>（二）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32"/>
        </w:rPr>
        <w:t>具有为中度及以上失能老年人提供相应服务的能力；</w:t>
      </w:r>
    </w:p>
    <w:p w:rsidR="00B3705F" w:rsidRPr="001A757A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仿宋_GB2312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snapToGrid w:val="0"/>
          <w:kern w:val="0"/>
          <w:sz w:val="32"/>
          <w:szCs w:val="32"/>
        </w:rPr>
        <w:t>（三）</w:t>
      </w:r>
      <w:r w:rsidRPr="001A757A">
        <w:rPr>
          <w:rFonts w:ascii="Times New Roman" w:eastAsia="方正仿宋_GBK" w:hAnsi="Times New Roman" w:cs="仿宋_GB2312" w:hint="eastAsia"/>
          <w:snapToGrid w:val="0"/>
          <w:kern w:val="0"/>
          <w:sz w:val="32"/>
          <w:szCs w:val="32"/>
        </w:rPr>
        <w:t>自愿参与、信誉良好，近一年内未被纳入失信联合惩</w:t>
      </w:r>
      <w:r w:rsidRPr="001A757A">
        <w:rPr>
          <w:rFonts w:ascii="Times New Roman" w:eastAsia="方正仿宋_GBK" w:hAnsi="Times New Roman" w:cs="仿宋_GB2312" w:hint="eastAsia"/>
          <w:snapToGrid w:val="0"/>
          <w:kern w:val="0"/>
          <w:sz w:val="32"/>
          <w:szCs w:val="32"/>
        </w:rPr>
        <w:lastRenderedPageBreak/>
        <w:t>戒对象名单；</w:t>
      </w:r>
    </w:p>
    <w:p w:rsidR="00B3705F" w:rsidRPr="001A757A" w:rsidRDefault="00B3705F" w:rsidP="00B3705F">
      <w:pPr>
        <w:spacing w:line="590" w:lineRule="exact"/>
        <w:ind w:firstLineChars="200" w:firstLine="640"/>
        <w:rPr>
          <w:rFonts w:ascii="Times New Roman" w:eastAsia="方正仿宋_GBK" w:hAnsi="Times New Roman" w:cs="仿宋_GB2312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snapToGrid w:val="0"/>
          <w:kern w:val="0"/>
          <w:sz w:val="32"/>
          <w:szCs w:val="32"/>
        </w:rPr>
        <w:t>（四）</w:t>
      </w:r>
      <w:r w:rsidRPr="001A757A">
        <w:rPr>
          <w:rFonts w:ascii="Times New Roman" w:eastAsia="方正仿宋_GBK" w:hAnsi="Times New Roman" w:cs="仿宋_GB2312" w:hint="eastAsia"/>
          <w:snapToGrid w:val="0"/>
          <w:kern w:val="0"/>
          <w:sz w:val="32"/>
          <w:szCs w:val="32"/>
        </w:rPr>
        <w:t>设区市民政部门认定的应具备的其他条件。</w:t>
      </w:r>
    </w:p>
    <w:p w:rsidR="00B3705F" w:rsidRPr="00727800" w:rsidRDefault="00B3705F" w:rsidP="00B3705F">
      <w:pPr>
        <w:spacing w:line="590" w:lineRule="exact"/>
        <w:ind w:firstLineChars="200" w:firstLine="640"/>
        <w:rPr>
          <w:rFonts w:ascii="方正黑体_GBK" w:eastAsia="方正黑体_GBK" w:hAnsi="Times New Roman" w:cs="仿宋_GB2312"/>
          <w:snapToGrid w:val="0"/>
          <w:kern w:val="0"/>
          <w:sz w:val="32"/>
          <w:szCs w:val="32"/>
        </w:rPr>
      </w:pPr>
      <w:r w:rsidRPr="00727800">
        <w:rPr>
          <w:rFonts w:ascii="方正黑体_GBK" w:eastAsia="方正黑体_GBK" w:hAnsi="Times New Roman" w:cs="黑体" w:hint="eastAsia"/>
          <w:snapToGrid w:val="0"/>
          <w:kern w:val="0"/>
          <w:sz w:val="32"/>
          <w:szCs w:val="32"/>
        </w:rPr>
        <w:t>三、民政部门委托的第三方专业评估机构</w:t>
      </w:r>
    </w:p>
    <w:p w:rsidR="00B3705F" w:rsidRPr="00727800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28"/>
        </w:rPr>
      </w:pPr>
      <w:r>
        <w:rPr>
          <w:rFonts w:eastAsia="方正仿宋_GBK" w:cs="仿宋_GB2312" w:hint="eastAsia"/>
          <w:snapToGrid w:val="0"/>
          <w:kern w:val="0"/>
          <w:sz w:val="32"/>
          <w:szCs w:val="28"/>
        </w:rPr>
        <w:t>（一）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依法办理注册登记的企事业单位或社会组织，</w:t>
      </w:r>
      <w:r w:rsidRPr="001A757A">
        <w:rPr>
          <w:rFonts w:eastAsia="方正仿宋_GBK"/>
          <w:snapToGrid w:val="0"/>
          <w:kern w:val="0"/>
          <w:sz w:val="32"/>
          <w:szCs w:val="32"/>
        </w:rPr>
        <w:t>业务范围包括</w:t>
      </w:r>
      <w:r w:rsidRPr="00727800">
        <w:rPr>
          <w:rFonts w:eastAsia="方正仿宋_GBK" w:hint="eastAsia"/>
          <w:snapToGrid w:val="0"/>
          <w:kern w:val="0"/>
          <w:sz w:val="32"/>
          <w:szCs w:val="32"/>
        </w:rPr>
        <w:t>养老服务、评估服务等</w:t>
      </w:r>
      <w:r w:rsidRPr="00727800">
        <w:rPr>
          <w:rFonts w:eastAsia="方正仿宋_GBK"/>
          <w:snapToGrid w:val="0"/>
          <w:kern w:val="0"/>
          <w:sz w:val="32"/>
          <w:szCs w:val="32"/>
        </w:rPr>
        <w:t>老年人能力评估类相关内容</w:t>
      </w:r>
      <w:r w:rsidRPr="00727800">
        <w:rPr>
          <w:rFonts w:eastAsia="方正仿宋_GBK" w:cs="仿宋_GB2312" w:hint="eastAsia"/>
          <w:snapToGrid w:val="0"/>
          <w:kern w:val="0"/>
          <w:sz w:val="32"/>
          <w:szCs w:val="28"/>
        </w:rPr>
        <w:t>；</w:t>
      </w:r>
    </w:p>
    <w:p w:rsidR="00B3705F" w:rsidRPr="00727800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28"/>
        </w:rPr>
      </w:pPr>
      <w:r>
        <w:rPr>
          <w:rFonts w:eastAsia="方正仿宋_GBK" w:cs="仿宋_GB2312" w:hint="eastAsia"/>
          <w:snapToGrid w:val="0"/>
          <w:kern w:val="0"/>
          <w:sz w:val="32"/>
          <w:szCs w:val="28"/>
        </w:rPr>
        <w:t>（二）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至少配置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5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名专（兼）职评估人员，评估人员应具有高中或中专以上学历，有</w:t>
      </w:r>
      <w:r w:rsidRPr="00727800">
        <w:rPr>
          <w:rFonts w:eastAsia="方正仿宋_GBK" w:cs="仿宋_GB2312" w:hint="eastAsia"/>
          <w:snapToGrid w:val="0"/>
          <w:kern w:val="0"/>
          <w:sz w:val="32"/>
          <w:szCs w:val="28"/>
        </w:rPr>
        <w:t>5</w:t>
      </w:r>
      <w:r w:rsidRPr="00727800">
        <w:rPr>
          <w:rFonts w:eastAsia="方正仿宋_GBK" w:cs="仿宋_GB2312" w:hint="eastAsia"/>
          <w:snapToGrid w:val="0"/>
          <w:kern w:val="0"/>
          <w:sz w:val="32"/>
          <w:szCs w:val="28"/>
        </w:rPr>
        <w:t>年以上从事医疗护理、健康管理、养老服务、老年社会工作等实务经历并具有相关专业背景；</w:t>
      </w:r>
      <w:r w:rsidRPr="00727800">
        <w:rPr>
          <w:rFonts w:eastAsia="方正仿宋_GBK" w:hint="eastAsia"/>
          <w:snapToGrid w:val="0"/>
          <w:kern w:val="0"/>
          <w:sz w:val="32"/>
          <w:szCs w:val="32"/>
        </w:rPr>
        <w:t>应</w:t>
      </w:r>
      <w:r w:rsidRPr="00727800">
        <w:rPr>
          <w:rFonts w:eastAsia="方正仿宋_GBK"/>
          <w:snapToGrid w:val="0"/>
          <w:kern w:val="0"/>
          <w:sz w:val="32"/>
          <w:szCs w:val="32"/>
        </w:rPr>
        <w:t>持有老年人能力评估师职业技能等级证书或经</w:t>
      </w:r>
      <w:r w:rsidRPr="00727800">
        <w:rPr>
          <w:rFonts w:eastAsia="方正仿宋_GBK" w:hint="eastAsia"/>
          <w:snapToGrid w:val="0"/>
          <w:kern w:val="0"/>
          <w:sz w:val="32"/>
          <w:szCs w:val="32"/>
        </w:rPr>
        <w:t>设区市及以上民政部门</w:t>
      </w:r>
      <w:r w:rsidRPr="00727800">
        <w:rPr>
          <w:rFonts w:eastAsia="方正仿宋_GBK"/>
          <w:snapToGrid w:val="0"/>
          <w:kern w:val="0"/>
          <w:sz w:val="32"/>
          <w:szCs w:val="32"/>
        </w:rPr>
        <w:t>组织的老年人能力评估</w:t>
      </w:r>
      <w:r w:rsidRPr="00727800">
        <w:rPr>
          <w:rFonts w:eastAsia="方正仿宋_GBK" w:hint="eastAsia"/>
          <w:snapToGrid w:val="0"/>
          <w:kern w:val="0"/>
          <w:sz w:val="32"/>
          <w:szCs w:val="32"/>
        </w:rPr>
        <w:t>员</w:t>
      </w:r>
      <w:r w:rsidRPr="00727800">
        <w:rPr>
          <w:rFonts w:eastAsia="方正仿宋_GBK"/>
          <w:snapToGrid w:val="0"/>
          <w:kern w:val="0"/>
          <w:sz w:val="32"/>
          <w:szCs w:val="32"/>
        </w:rPr>
        <w:t>培训考核合格</w:t>
      </w:r>
      <w:r w:rsidRPr="00727800">
        <w:rPr>
          <w:rFonts w:eastAsia="方正仿宋_GBK"/>
          <w:snapToGrid w:val="0"/>
          <w:color w:val="000000"/>
          <w:kern w:val="0"/>
          <w:sz w:val="32"/>
          <w:szCs w:val="32"/>
        </w:rPr>
        <w:t>证书</w:t>
      </w:r>
      <w:r w:rsidRPr="00727800">
        <w:rPr>
          <w:rFonts w:eastAsia="方正仿宋_GBK" w:hint="eastAsia"/>
          <w:snapToGrid w:val="0"/>
          <w:color w:val="000000"/>
          <w:kern w:val="0"/>
          <w:sz w:val="32"/>
          <w:szCs w:val="32"/>
        </w:rPr>
        <w:t>，</w:t>
      </w:r>
      <w:r w:rsidRPr="00727800">
        <w:rPr>
          <w:rFonts w:eastAsia="方正仿宋_GBK" w:cs="仿宋_GB2312" w:hint="eastAsia"/>
          <w:snapToGrid w:val="0"/>
          <w:kern w:val="0"/>
          <w:sz w:val="32"/>
          <w:szCs w:val="28"/>
        </w:rPr>
        <w:t>理解评估指标内容，掌握评估要求；</w:t>
      </w:r>
    </w:p>
    <w:p w:rsidR="00B3705F" w:rsidRPr="00727800" w:rsidRDefault="00B3705F" w:rsidP="00B3705F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（三）</w:t>
      </w:r>
      <w:r w:rsidRPr="001A757A">
        <w:rPr>
          <w:rFonts w:ascii="Times New Roman" w:eastAsia="方正仿宋_GBK" w:hAnsi="Times New Roman"/>
          <w:snapToGrid w:val="0"/>
          <w:kern w:val="0"/>
          <w:sz w:val="32"/>
          <w:szCs w:val="32"/>
        </w:rPr>
        <w:t>具有独立、专业的评估场地，评估环境应清洁、安静、光线充足、空气清新、温度适宜。采取集中评估时，应设立等候评估的空间，评估工作在相对独立的评估室内逐一进行，开展评估工作的机构宜设立单独的评估室。评估室内物品应满足评估需要，不应放置与评估无关的物品，评估室内或室外有连续的台阶和带有扶手的通道，可供评估使用。楼梯、台阶各级踏步应均匀一致、平整、防滑</w:t>
      </w:r>
      <w:r w:rsidRPr="00727800"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  <w:t>；</w:t>
      </w:r>
    </w:p>
    <w:p w:rsidR="00B3705F" w:rsidRPr="00727800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28"/>
        </w:rPr>
      </w:pPr>
      <w:r>
        <w:rPr>
          <w:rFonts w:eastAsia="方正仿宋_GBK" w:cs="仿宋_GB2312" w:hint="eastAsia"/>
          <w:snapToGrid w:val="0"/>
          <w:kern w:val="0"/>
          <w:sz w:val="32"/>
          <w:szCs w:val="28"/>
        </w:rPr>
        <w:t>（四）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应当保护被评估人员和评估人员的尊严、安全和个人隐私；</w:t>
      </w:r>
    </w:p>
    <w:p w:rsidR="00B3705F" w:rsidRPr="001A757A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28"/>
        </w:rPr>
      </w:pPr>
      <w:r>
        <w:rPr>
          <w:rFonts w:eastAsia="方正仿宋_GBK" w:cs="仿宋_GB2312" w:hint="eastAsia"/>
          <w:snapToGrid w:val="0"/>
          <w:kern w:val="0"/>
          <w:sz w:val="32"/>
          <w:szCs w:val="28"/>
        </w:rPr>
        <w:t>（五）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机构或评估人员近一年内未被纳入单独或联合失信惩戒名单、未被行政处罚、未被纳入人民法院失信被执行人名单，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lastRenderedPageBreak/>
        <w:t>服务过程中未发生重大安全事故或服务对象群体投诉信访事件；</w:t>
      </w:r>
    </w:p>
    <w:p w:rsidR="00B3705F" w:rsidRDefault="00B3705F" w:rsidP="00B3705F">
      <w:pPr>
        <w:pStyle w:val="2"/>
        <w:spacing w:line="590" w:lineRule="exact"/>
        <w:ind w:firstLine="640"/>
        <w:rPr>
          <w:rFonts w:eastAsia="方正仿宋_GBK" w:cs="仿宋_GB2312" w:hint="eastAsia"/>
          <w:snapToGrid w:val="0"/>
          <w:kern w:val="0"/>
          <w:sz w:val="32"/>
          <w:szCs w:val="28"/>
        </w:rPr>
      </w:pPr>
      <w:r>
        <w:rPr>
          <w:rFonts w:eastAsia="方正仿宋_GBK" w:cs="仿宋_GB2312" w:hint="eastAsia"/>
          <w:snapToGrid w:val="0"/>
          <w:kern w:val="0"/>
          <w:sz w:val="32"/>
          <w:szCs w:val="28"/>
        </w:rPr>
        <w:t>（六）</w:t>
      </w:r>
      <w:r w:rsidRPr="001A757A">
        <w:rPr>
          <w:rFonts w:eastAsia="方正仿宋_GBK" w:cs="仿宋_GB2312" w:hint="eastAsia"/>
          <w:snapToGrid w:val="0"/>
          <w:kern w:val="0"/>
          <w:sz w:val="32"/>
          <w:szCs w:val="28"/>
        </w:rPr>
        <w:t>不得参与本项目消费补贴提供的养老服务。</w:t>
      </w:r>
    </w:p>
    <w:p w:rsidR="00B3705F" w:rsidRPr="001A757A" w:rsidRDefault="00B3705F" w:rsidP="00B3705F">
      <w:pPr>
        <w:pStyle w:val="2"/>
        <w:spacing w:line="590" w:lineRule="exact"/>
        <w:ind w:firstLine="640"/>
        <w:rPr>
          <w:rFonts w:eastAsia="方正仿宋_GBK" w:cs="仿宋_GB2312"/>
          <w:snapToGrid w:val="0"/>
          <w:kern w:val="0"/>
          <w:sz w:val="32"/>
          <w:szCs w:val="28"/>
        </w:rPr>
      </w:pPr>
    </w:p>
    <w:p w:rsidR="002539C7" w:rsidRDefault="002539C7" w:rsidP="00B3705F"/>
    <w:sectPr w:rsidR="002539C7" w:rsidSect="00B3705F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A0" w:rsidRDefault="00377DA0" w:rsidP="00B3705F">
      <w:r>
        <w:separator/>
      </w:r>
    </w:p>
  </w:endnote>
  <w:endnote w:type="continuationSeparator" w:id="0">
    <w:p w:rsidR="00377DA0" w:rsidRDefault="00377DA0" w:rsidP="00B3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A0" w:rsidRDefault="00377DA0" w:rsidP="00B3705F">
      <w:r>
        <w:separator/>
      </w:r>
    </w:p>
  </w:footnote>
  <w:footnote w:type="continuationSeparator" w:id="0">
    <w:p w:rsidR="00377DA0" w:rsidRDefault="00377DA0" w:rsidP="00B3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A1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77DA0"/>
    <w:rsid w:val="00381C76"/>
    <w:rsid w:val="003870C1"/>
    <w:rsid w:val="0039106C"/>
    <w:rsid w:val="003934A1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3705F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05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3705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3705F"/>
    <w:rPr>
      <w:rFonts w:ascii="Calibri" w:eastAsia="宋体" w:hAnsi="Calibri" w:cs="Times New Roman"/>
    </w:rPr>
  </w:style>
  <w:style w:type="paragraph" w:styleId="2">
    <w:name w:val="Body Text First Indent 2"/>
    <w:basedOn w:val="a5"/>
    <w:next w:val="a"/>
    <w:link w:val="2Char"/>
    <w:qFormat/>
    <w:rsid w:val="00B3705F"/>
    <w:pPr>
      <w:spacing w:after="0"/>
      <w:ind w:leftChars="0" w:left="0" w:firstLineChars="200" w:firstLine="420"/>
    </w:pPr>
    <w:rPr>
      <w:rFonts w:ascii="Times New Roman" w:hAnsi="Times New Roman"/>
      <w:sz w:val="30"/>
      <w:szCs w:val="24"/>
    </w:rPr>
  </w:style>
  <w:style w:type="character" w:customStyle="1" w:styleId="2Char">
    <w:name w:val="正文首行缩进 2 Char"/>
    <w:basedOn w:val="Char1"/>
    <w:link w:val="2"/>
    <w:qFormat/>
    <w:rsid w:val="00B3705F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05F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3705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B3705F"/>
    <w:rPr>
      <w:rFonts w:ascii="Calibri" w:eastAsia="宋体" w:hAnsi="Calibri" w:cs="Times New Roman"/>
    </w:rPr>
  </w:style>
  <w:style w:type="paragraph" w:styleId="2">
    <w:name w:val="Body Text First Indent 2"/>
    <w:basedOn w:val="a5"/>
    <w:next w:val="a"/>
    <w:link w:val="2Char"/>
    <w:qFormat/>
    <w:rsid w:val="00B3705F"/>
    <w:pPr>
      <w:spacing w:after="0"/>
      <w:ind w:leftChars="0" w:left="0" w:firstLineChars="200" w:firstLine="420"/>
    </w:pPr>
    <w:rPr>
      <w:rFonts w:ascii="Times New Roman" w:hAnsi="Times New Roman"/>
      <w:sz w:val="30"/>
      <w:szCs w:val="24"/>
    </w:rPr>
  </w:style>
  <w:style w:type="character" w:customStyle="1" w:styleId="2Char">
    <w:name w:val="正文首行缩进 2 Char"/>
    <w:basedOn w:val="Char1"/>
    <w:link w:val="2"/>
    <w:qFormat/>
    <w:rsid w:val="00B3705F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2026-01-15T07:40:00Z</dcterms:created>
  <dcterms:modified xsi:type="dcterms:W3CDTF">2026-01-15T07:40:00Z</dcterms:modified>
</cp:coreProperties>
</file>