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4EBA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7C54B64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p>
    <w:p w14:paraId="6B2AEE0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_GBK" w:cs="Times New Roman"/>
          <w:sz w:val="44"/>
          <w:szCs w:val="52"/>
          <w:lang w:val="en-US" w:eastAsia="zh-CN"/>
        </w:rPr>
      </w:pPr>
      <w:r>
        <w:rPr>
          <w:rFonts w:hint="default" w:ascii="Times New Roman" w:hAnsi="Times New Roman" w:eastAsia="方正小标宋_GBK" w:cs="Times New Roman"/>
          <w:sz w:val="44"/>
          <w:szCs w:val="52"/>
          <w:lang w:val="en-US" w:eastAsia="zh-CN"/>
        </w:rPr>
        <w:t>广西壮族自治区能源局权责清单</w:t>
      </w:r>
      <w:r>
        <w:rPr>
          <w:rFonts w:hint="default" w:ascii="Times New Roman" w:hAnsi="Times New Roman" w:eastAsia="方正小标宋_GBK" w:cs="Times New Roman"/>
          <w:b w:val="0"/>
          <w:bCs w:val="0"/>
          <w:sz w:val="44"/>
          <w:szCs w:val="44"/>
          <w:lang w:eastAsia="zh-CN"/>
        </w:rPr>
        <w:t>（2025年版）</w:t>
      </w:r>
    </w:p>
    <w:p w14:paraId="532D0B3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lang w:val="en-US" w:eastAsia="zh-CN"/>
        </w:rPr>
      </w:pPr>
    </w:p>
    <w:tbl>
      <w:tblPr>
        <w:tblStyle w:val="4"/>
        <w:tblW w:w="21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60"/>
        <w:gridCol w:w="600"/>
        <w:gridCol w:w="880"/>
        <w:gridCol w:w="707"/>
        <w:gridCol w:w="880"/>
        <w:gridCol w:w="1093"/>
        <w:gridCol w:w="2173"/>
        <w:gridCol w:w="2601"/>
        <w:gridCol w:w="3386"/>
        <w:gridCol w:w="2947"/>
        <w:gridCol w:w="3246"/>
        <w:gridCol w:w="1687"/>
        <w:gridCol w:w="441"/>
      </w:tblGrid>
      <w:tr w14:paraId="6502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A9EE2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编号</w:t>
            </w:r>
          </w:p>
        </w:tc>
        <w:tc>
          <w:tcPr>
            <w:tcW w:w="6333"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63720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权力清单</w:t>
            </w:r>
          </w:p>
        </w:tc>
        <w:tc>
          <w:tcPr>
            <w:tcW w:w="13867"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A6D73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责任清单</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E6713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黑体_GBK" w:cs="Times New Roman"/>
                <w:i w:val="0"/>
                <w:iCs w:val="0"/>
                <w:color w:val="000000"/>
                <w:kern w:val="0"/>
                <w:sz w:val="21"/>
                <w:szCs w:val="21"/>
                <w:u w:val="none"/>
                <w:lang w:val="en-US" w:eastAsia="zh-CN" w:bidi="ar"/>
              </w:rPr>
              <w:t>备注</w:t>
            </w:r>
          </w:p>
        </w:tc>
      </w:tr>
      <w:tr w14:paraId="7ED35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441E6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A9C22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权力</w:t>
            </w:r>
          </w:p>
          <w:p w14:paraId="58D04D9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分类</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80280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项目</w:t>
            </w:r>
          </w:p>
          <w:p w14:paraId="3B2A03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13D77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子项</w:t>
            </w:r>
          </w:p>
          <w:p w14:paraId="00DEB96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名称</w:t>
            </w:r>
          </w:p>
        </w:tc>
        <w:tc>
          <w:tcPr>
            <w:tcW w:w="88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314A6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w:t>
            </w:r>
          </w:p>
          <w:p w14:paraId="4851634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主体</w:t>
            </w:r>
          </w:p>
        </w:tc>
        <w:tc>
          <w:tcPr>
            <w:tcW w:w="109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B1B83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承办的</w:t>
            </w:r>
          </w:p>
          <w:p w14:paraId="7560307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内设机构</w:t>
            </w:r>
          </w:p>
        </w:tc>
        <w:tc>
          <w:tcPr>
            <w:tcW w:w="2173"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B247B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实施依据</w:t>
            </w:r>
          </w:p>
        </w:tc>
        <w:tc>
          <w:tcPr>
            <w:tcW w:w="2601"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26B80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w:t>
            </w:r>
          </w:p>
          <w:p w14:paraId="5828953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（明确责任主体）</w:t>
            </w:r>
          </w:p>
        </w:tc>
        <w:tc>
          <w:tcPr>
            <w:tcW w:w="338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229BC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责任事项依据</w:t>
            </w:r>
          </w:p>
        </w:tc>
        <w:tc>
          <w:tcPr>
            <w:tcW w:w="294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06164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追责情形</w:t>
            </w:r>
          </w:p>
          <w:p w14:paraId="1C3F3F7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（明确内部追责主体）</w:t>
            </w:r>
          </w:p>
        </w:tc>
        <w:tc>
          <w:tcPr>
            <w:tcW w:w="3246"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71759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追责依据</w:t>
            </w:r>
          </w:p>
        </w:tc>
        <w:tc>
          <w:tcPr>
            <w:tcW w:w="1687"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B723C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Times New Roman" w:hAnsi="Times New Roman" w:eastAsia="方正黑体_GBK" w:cs="Times New Roman"/>
                <w:i w:val="0"/>
                <w:iCs w:val="0"/>
                <w:color w:val="000000"/>
                <w:kern w:val="0"/>
                <w:sz w:val="21"/>
                <w:szCs w:val="21"/>
                <w:u w:val="none"/>
                <w:lang w:val="en-US" w:eastAsia="zh-CN" w:bidi="ar"/>
              </w:rPr>
            </w:pPr>
            <w:r>
              <w:rPr>
                <w:rFonts w:hint="default" w:ascii="Times New Roman" w:hAnsi="Times New Roman" w:eastAsia="方正黑体_GBK" w:cs="Times New Roman"/>
                <w:i w:val="0"/>
                <w:iCs w:val="0"/>
                <w:color w:val="000000"/>
                <w:kern w:val="0"/>
                <w:sz w:val="21"/>
                <w:szCs w:val="21"/>
                <w:u w:val="none"/>
                <w:lang w:val="en-US" w:eastAsia="zh-CN" w:bidi="ar"/>
              </w:rPr>
              <w:t>免责事项</w:t>
            </w: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AE1201">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4488E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3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DCDE5C">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257B3F">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CF07FB">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F96BF1">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8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7D49E8">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0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B3017B">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1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A16F0B">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6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4D6176">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3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7E2B90">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29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350D7F">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32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D8C285">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16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AD5704">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355A37">
            <w:pPr>
              <w:keepNext w:val="0"/>
              <w:keepLines w:val="0"/>
              <w:pageBreakBefore w:val="0"/>
              <w:widowControl/>
              <w:kinsoku/>
              <w:wordWrap/>
              <w:overflowPunct/>
              <w:topLinePunct w:val="0"/>
              <w:autoSpaceDE/>
              <w:autoSpaceDN/>
              <w:bidi w:val="0"/>
              <w:adjustRightInd/>
              <w:snapToGrid/>
              <w:spacing w:line="230" w:lineRule="exact"/>
              <w:jc w:val="center"/>
              <w:rPr>
                <w:rFonts w:hint="default" w:ascii="Times New Roman" w:hAnsi="Times New Roman" w:eastAsia="方正书宋_GBK" w:cs="Times New Roman"/>
                <w:i w:val="0"/>
                <w:color w:val="000000"/>
                <w:sz w:val="21"/>
                <w:szCs w:val="21"/>
                <w:u w:val="none"/>
              </w:rPr>
            </w:pPr>
          </w:p>
        </w:tc>
      </w:tr>
      <w:tr w14:paraId="26166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DE5C0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8DEED1">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02C8D5">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固定资产投资项目核准</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94288C">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92BA5F">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F9080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电力核电处、煤炭油气处、新能源和可再生能源处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6FE5E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法规】《企业投资项目核准和备案管理条例》（2016年国务院令第673号公布）第三条：对关系国家安全、涉及全国重大生产力布局、战略性资源开发和重大公共利益等项目，实行核准管理，具体项目范围以及核准机关、核准权限依照政府核准的投资项目目录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【行政法规】《国务院关于发布政府核准的投资项目目录（2016 年本）的通知》（国发〔2016〕72号）第一条：企业投资建设本目录内的固定资产投资项目，须按照规定报送有关项目核准机关核准。第八条：由地方政府核准的项目，各省级政府可以根据本地实际情况，按照下放层级与承接能力相匹配的原则，具体划分地方各级政府管理权限，制定本行政区域内统一的政府核准投资项目目录。</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FFB49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1.受理责任（综合处）：公示依法应当提交的材料；一次性告知补正材料；依法受理或不予受理（不予受理应当告知理由）。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电力核电处、煤炭油气处、新能源和可再生能源处）：对材料从是否符合国家法律法规和宏观调控政策，是否符合发展规划、产业政策、技术政策和准入标准，是否合理开发并有效利用了资源，是否影响我国国家安全、经济安全和生态安全，是否对公众利益特别是项目建设地的公众利益</w:t>
            </w:r>
            <w:bookmarkStart w:id="0" w:name="_GoBack"/>
            <w:bookmarkEnd w:id="0"/>
            <w:r>
              <w:rPr>
                <w:rFonts w:hint="default" w:ascii="Times New Roman" w:hAnsi="Times New Roman" w:eastAsia="方正书宋_GBK" w:cs="Times New Roman"/>
                <w:i w:val="0"/>
                <w:color w:val="000000"/>
                <w:kern w:val="0"/>
                <w:sz w:val="21"/>
                <w:szCs w:val="21"/>
                <w:u w:val="none"/>
                <w:lang w:val="en-US" w:eastAsia="zh-CN" w:bidi="ar"/>
              </w:rPr>
              <w:t>产生重大不利影响等方面进行审核，并提出审查意见。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3.决定责任（电力核电处、煤炭油气处、新能源和可再生能源处）：按时作出行政许可或者不予行政许可决定，法定告知（不予许可的应当告知理由）。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4.送达责任（综合处）：准予许可的，制发项目核准批复文件，送达并信息公开。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5.监管责任（电力核电处、煤炭油气处、新能源和可再生能源处）：会同行业管理、城乡规划（建设）、国土资源、环境保护等部门，加强对企业投资项目的稽察和监管。</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0D7A0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行政法规】《企业投资项目核准和备案管理条例》（2016年国务院令第673号公布）第九条：核准机关应当从下列方面对项目进行审查：（一）是否危害经济安全、社会安全、生态安全等国家安全；（二）是否符合相关发展建设规划、技术标准和产业政策；（三）是否合理开发并有效利用资源；（四）是否对重大公共利益产生不利影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行政法规】《企业投资项目核准和备案管理条例》（2016年国务院令第673号公布）第十条：核准机关应当自受理之日起20个工作日内，作出是否予以核准的决定；项目情况复杂或者需求征求有关单位意见的，经本机关主要负责人批准，可以延长核准期限，但延长的期限不得超过40个工作日。核准机关委托中介服务机构对项目进行评估的，评估时间不计入核准时限。核准机关对项目予以核准的，应当向企业出具核准文件；不予核准的，应当书面通知企业并说明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行政法规】《企业投资项目核准和备案管理条例》（2016年国务院令第673号公布）第十六条：核准机关、备案机关以及依法对项目负有监督管理职责的其他有关部门应当加强事中事后监管，按照谁审批谁监管、谁主管谁监管的原则，落实监管责任，采取在线监测、现场核查等方式，加强对项目实施的监督检查。</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F61CC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2.对不符合法定条件的申请予以许可的（机关纪委）；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3.未依照法定程序实施审批的（机关纪委）；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4.擅自收费或者不按照法定项目和标准收费的（机关纪委）；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6.索取或者收受他人财物或者谋取其他利益的（机关纪委）；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44511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许可法》第七十四条第（二）项：行政机关实施行政许可，有下列情形之一的，由其上级行政机关或者监察机关责令改正，对直接负责的主管人员和其他直接责任人员依法给予行政处分；构成犯罪的，依法追究刑事责任：（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五条：行政机关实施行政许可，擅自收费或者不按照法定项目和标准收费的，由其上级行政机关或者监察机关责令退还非法收取的费用；对直接负责的主管人员和其他直接责任人员依法给予行政处分。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六十九条有下列情形之一的，作出行政许可决定的行政机关或者其上级行政机关，根据利害关系人的请求或者依据职权，可以撤销行政许可：（一）行政机关工作人员滥用职权、玩忽职守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九条有下列情形之一的，作出行政许可决定的行政机关或者其上级行政机关，根据利害关系人的请求或者依据职权，可以撤销行政许可：（一）行政机关工作人员滥用职权、玩忽职守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七十三条：行政机关工作人员办理行政许可、实施监督检查，索取或者收受他人财物或者谋取其他利益，构成犯罪的，依法追究刑事责任；尚不构成犯罪的，依法给予行政处分。</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0C91E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F6E8F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30B72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7A54A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385C5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AC6CB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国家重点建设和国家核准水电站项目竣工验收</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C668F7">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635C4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FAD1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212A4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1.【行政法规】《水库大坝安全管理条例》（1991年3月22日中华人民共和国国务院令第77号发布 根据2011年1月8日《国务院关于废止和修改部分行政法规的决定》第一次修订 根据2018年3月19日《国务院关于修改和废止部分行政法规的决定》第二次修订）第三条：……各级水利、能源、建设、交通、农业等有关部门，是其所管辖的大坝的主管部门”。第十一条“……大坝竣工后，建设单位应当申请大坝主管部门组织验收”。</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2.【国务院决定】《国务院关于取消和调整一批行政审批项目等事项的决定》（国发〔2014〕50号）第39项：国家重点建设水电站项目和国家核准（审批）水电站项目竣工验收，下放至省级人民政府能源主管部门。</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BB7D5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1.受理责任（综合处）：公示依法应当提交的材料；一次性告知补正材料；依法受理或不予受理（不予受理应当告知理由）。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2.审查责任（新能源和可再生能源处）：材料审核（主要是对竣工验收总结报告、竣工验收鉴定书审查）；提出审查意见。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3.决定责任（新能源和可再生能源处）：按时作出行政许可或者不予行政许可决定，法定告知（不予许可的应当告知理由）。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4.送达责任（综合处）：准予许可的，制发水电站竣工验收的批复，送达并信息公开。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5.监管责任（新能源和可再生能源处）：建立实施监督检查的运行机制和管理制度，开展定期和不定期检查，依法采取相关处置措施。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C9C534">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1.【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2.【规范性文件】《水电工程验收管理办法》（国能新能〔2015〕426号）第二十四条：验收主持单位收到竣工验收申请材料后，应会同工程所在地省级人民政府能源主管部门，并邀请相关部门、项目法人所属计划单列企业集团（或中央管理企业）、有关单位和专家共同组成验收委员会进行验收。必要时可组织专家组进行现场检查和技术预验收。验收委员会主任委员由验收主持单位有关负责同志担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规范性文件】《水电工程验收管理办法》（国能新能〔2015〕426号）第二十七条：验收委员会完成竣工验收工作后，应出具竣工验收鉴定书。验收主持单位应及时将工程竣工验收总结报告、验收鉴定书及相关资料报送省级人民政府能源主管部门。”第二十八条：“省级人民政府能源主管部门在收到工程竣工验收总结报告和验收鉴定书后，对符合竣工验收条件的水电工程颁发竣工验收证书（批复）。</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5.【法律】《中华人民共和国行政许可法》第六十一条：行政机关应当建立健全监督制度，通过核查反映被许可人从事行政许可事项活动情况的有关材料，履行监督责任。</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A9071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1.对符合法定条件的申请不予办理（机关纪委）；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2.对不符合法定条件的申请予以许可或不在法定期限内作出准予行政许可决定的（机关纪委）；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3.对不符合法定条件的申请人准予行政许可或者超越法定职权作出准予行政许可决定的（机关纪委）；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4.擅自收费或者不按照法定项目和标准收费的（机关纪委）；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5.滥用职权、玩忽职守作出准予行政许可决定的（机关纪委）；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6.办理行政许可、实施监督检查，索取或者收受他人财物或者谋取其他利益的（机关纪委）；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504A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第（二）项：行政机关实施行政许可，有下列情形之一的，由其上级行政机关或者监察机关责令改正，对直接负责的主管人员和其他直接责任人员依法给予行政处分；构成犯罪的，依法追究刑事责任：（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行政机关实施行政许可，擅自收费或者不按照法定项目和标准收费的，由其上级行政机关或者监察机关责令退还非法收取的费用；对直接负责的主管人员和其他直接责任人员依法给予行政处分。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九条有下列情形之一的，作出行政许可决定的行政机关或者其上级行政机关，根据利害关系人的请求或者依据职权，可以撤销行政许可：（一）行政机关工作人员滥用职权、玩忽职守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七十三条：行政机关工作人员办理行政许可、实施监督检查，索取或者收受他人财物或者谋取其他利益，构成犯罪的，依法追究刑事责任；尚不构成犯罪的，依法给予行政处分。</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BE0F0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C9597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01E2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B9E00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8A198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7B82B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煤矿建设项目设计文件审批</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0175C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C41F77">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69018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煤炭油气处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9F803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中华人民共和国矿山安全法》（1992年11月通过，2009年8月修正）第八条：矿山建设工程的设计文件，必须符合矿山安全规程和行业技术规范，并按照国家规定经管理矿山企业的主管部门批准；不符合矿山安全规程和行业技术规范的，不得批准……。</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9F9F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1.受理责任（综合处）：公示依法应当提交的材料；一次性告知补正材料；依法受理或不予受理（不予受理应当告知理由）。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2.审查责任（煤炭油气处）：对材料从是否符合国家法律法规、部门政策规定和宏观调控政策，是否符合矿山安全规程和行业技术规范等方面提出审查意见。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3.决定责任（煤炭油气处）：按时作出行政许可或者不予行政许可决定，法定告知（不予许可的应当告知理由）。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4.送达责任（综合处）：准予许可的，制发项目批复文件，送达并信息公开。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5.监管责任（煤炭油气处）：建立实施监督检查的运行机制和管理制度，开展定期和不定期检查，依法采取相关处置措施。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35B79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5.【法律】《中华人民共和国行政许可法》第六十一条：行政机关应当建立健全监督制度，通过核查反映被许可人从事行政许可事项活动情况的有关材料，履行监督责任。</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EF8EB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对不符合法定条件的申请予以许可的（机关纪委）；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2.对符合法定条件的申请不予办理或不在法定期限内办理（机关纪委）；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3.未依照法定程序实施审批的（机关纪委）；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4.擅自收费或者不按照法定项目和标准收费的（机关纪委）；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6.索取或者收受他人财物或者谋取其他利益的（机关纪委）；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708BB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许可法》第七十四条第（二）项：行政机关实施行政许可，有下列情形之一的，由其上级行政机关或者监察机关责令改正，对直接负责的主管人员和其他直接责任人员依法给予行政处分；构成犯罪的，依法追究刑事责任：（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行政机关实施行政许可，擅自收费或者不按照法定项目和标准收费的，由其上级行政机关或者监察机关责令退还非法收取的费用；对直接负责的主管人员和其他直接责任人员依法给予行政处分。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九条有下列情形之一的，作出行政许可决定的行政机关或者其上级行政机关，根据利害关系人的请求或者依据职权，可以撤销行政许可：（一）行政机关工作人员滥用职权、玩忽职守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七十三条：行政机关工作人员办理行政许可、实施监督检查，索取或者收受他人财物或者谋取其他利益，构成犯罪的，依法追究刑事责任；尚不构成犯罪的，依法给予行政处分。</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27EBC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BEFA7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5CF4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118A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63BAF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行政许可</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F75FE0">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新建不能满足管道保护要求的石油天然气管道防护方案审批</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F98FC5">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18D59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7A6BA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市场安监处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23CF1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中华人民共和国石油天然气管道保护法》第十三条：管道建设的选线应当避开地震活动断层和容易发生洪灾、地质灾害的区域，与建筑物、构筑物、铁路、公路、航道、港口、市政设施、军事设施、电缆、光缆等保持本法和有关法律、行政法规以及国家技术规范的强制性要求规定的保护距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新建管道通过的区域受地理条件限制，不能满足前款规定的管道保护要求的，管道企业应当提出防护方案，经管道保护方面的专家评审论证，并经管道所在地县级以上地方人民政府主管管道保护工作的部门批准后，方可建设。</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4F5DE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1.受理责任（综合处）：公示依法应当提交的材料；一次性告知补正材料；依法受理或不予受理（不予受理应当告知理由）。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2.审查责任（市场安监处）：对材料从是否符合国家法律法规、部门政策规定和规范技术要求等方面提出审查意见。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3.决定责任（市场安监处）：按时作出行政许可或者不予行政许可决定，法定告知（不予许可的应当告知理由）。</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4.送达责任（综合处）：准予许可的，制发项目防护方案审批文件，送达并信息公开。</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5.监管责任（市场安监处）：建立实施监督检查的运行机制和管理制度，开展定期和不定期检查，依法采取相关处置措施。</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5C236F">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许可法》第三十条：行政机关应当将法律、法规、规章规定的有关行政许可的事项、依据、条件、数量、程序、期限以及需要提交的全部材料的目录和申请书示范文本等在办公场所公示。申请人要求行政机关对公示内容予以说明、解释的，行政机关应当说明、解释，提供准确、可靠的信息。</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三十四条：行政机关应当对申请人提交的申请材料进行审查。申请人提交的申请材料齐全、符合法定形式，行政机关能够当场作出决定的，应当当场作出书面的行政许可决定。根据法定条件和程序，需要对申请材料的实质内容进行核实的，行政机关应当指派两名以上工作人员进行核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三十二条：行政机关对申请人提出的行政许可申请，应当根据下列情况分别作出处理：（一）申请事项依法不需要取得行政许可的，应当即时告知申请人不受理；（二）申请事项依法不属于本行政机关职权范围的，应当即时作出不予受理的决定，并告知申请人向有关行政机关申请；（三）申请材料存在可以当场更正的错误的，应当允许申请人当场更正；（四）申请材料不齐全或者不符合法定形式的，应当当场或者在五日内一次告知申请人需要补正的全部内容，逾期不告知的，自收到申请材料之日起即为受理；（五）申请事项属于本行政机关职权范围，申请材料齐全、符合法定形式，或者申请人按照本行政机关的要求提交全部补正申请材料的，应当受理行政许可申请。</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4.【法律】《中华人民共和国行政许可法》第四十四条：行政机关作出准予行政许可的决定，应当自作出决定之日起十日内向申请人颁发、送达行政许可证件，或者加贴标签、加盖检验、检测、检疫印章。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5.【法律】《中华人民共和国行政许可法》第六十一条：行政机关应当建立健全监督制度，通过核查反映被许可人从事行政许可事项活动情况的有关材料，履行监督责任。</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783D6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 对不符合法定条件的申请予以许可的（机关纪委）；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2.对符合法定条件的申请不予办理或不在法定期限内办理（机关纪委）；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3.未依照法定程序实施审批的（机关纪委）；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4.擅自收费或者不按照法定项目和标准收费的（机关纪委）；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5.在审批过程中滥用职权、玩忽职守的（机关纪委）；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6.索取或者收受他人财物或者谋取其他利益的（机关纪委）；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E395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行政许可法》第七十二条：行政机关及其工作人员违反本法的规定，有下列情形之一的，由其上级行政机关或者监察机关责令改正；情节严重的，对直接负责的主管人员和其他直接责任人员依法给予行政处分：（一）对符合法定条件的行政许可申请不予受理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行政许可法》第七十四条第（二）项：行政机关实施行政许可，有下列情形之一的，由其上级行政机关或者监察机关责令改正，对直接负责的主管人员和其他直接责任人员依法给予行政处分；构成犯罪的，依法追究刑事责任：（二）对符合法定条件的申请人不予行政许可或者不在法定期限内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一）对不符合法定条件的申请人准予行政许可或者超越法定职权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许可法》第七十四条：行政机关实施行政许可，有下列情形之一的，由其上级行政机关或者监察机关责令改正，对直接负责的主管人员和其他直接责任人员依法给予行政处分；构成犯罪的，依法追究刑事责任：（三）依法应当根据招标、拍卖结果或者考试成绩择优作出准予行政许可决定，未经招标、拍卖或者考试，或者不根据招标、拍卖结果或者考试成绩择优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许可法》第七十五条：行政机关实施行政许可，擅自收费或者不按照法定项目和标准收费的，由其上级行政机关或者监察机关责令退还非法收取的费用；对直接负责的主管人员和其他直接责任人员依法给予行政处分。截留、挪用、私分或者变相私分实施行政许可依法收取的费用的，予以追缴；对直接负责的主管人员和其他直接责任人员依法给予行政处分；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许可法》第六十九条有下列情形之一的，作出行政许可决定的行政机关或者其上级行政机关，根据利害关系人的请求或者依据职权，可以撤销行政许可：（一）行政机关工作人员滥用职权、玩忽职守作出准予行政许可决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许可法》第七十三条：行政机关工作人员办理行政许可、实施监督检查，索取或者收受他人财物或者谋取其他利益，构成犯罪的，依法追究刑事责任；尚不构成犯罪的，依法给予行政处分。</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7F8B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489DB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15AD8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2A1CB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EF02ED">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91983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对投资建设产业政策禁止投资建设项目的企业处罚</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ADCF11">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C908D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48E72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电力核电处、煤炭油气处、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A4BC8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企业投资项目核准和备案管理条例》（2016年国务院令第673号）第二十条：企业投资建设产业政策禁止投资建设项目的，由县级以上人民政府投资主管部门责令停止建设或者责令停产并恢复原状，对企业处项目总投资额5‰以上10‰以下的罚款；对直接负责的主管人员和其他直接责任人员处5万元以上10万元以下的罚款，属于国家工作人员的，依法给予处分。法律、行政法规另有规定的，依照其规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企业投资项目核准和备案管理办法》（2017年国家发展和改革委员会令第2号）第五十八条：企业投资建设产业政策禁止投资建设项目的，由县级以上人民政府投资主管部门责令停止建设或者责令停产并恢复原状，对企业处项目总投资额5‰以上10‰以下的罚款；对直接负责的主管人员和其他直接责任人员处5万元以上10万元以下的罚款，属于国家工作人员的，依法给予处分。法律、行政法规另有规定的，依照其规定。</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F7A10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1.立案责任（综合处）：对涉嫌违法行为的信息来源进行审查、记录，属本部门受理的进行审核，决定是否立案调查。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取证责任（电力核电处、煤炭油气处、新能源和可再生能源处）：对立案的案件，指定专人负责，及时组织调查取证，与当事人有直接利害关系的回避。调查时应出示执法证件，允许当事人辩解陈述，执法人员应保守有关秘密，客观公正地进行取证，并做好记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核责任（电力核电处、煤炭油气处、新能源和可再生能源处）：审理案件调查报告，对案件违法事实、证据、调查取证程序、法律适用、处罚种类和幅度、当事人陈述和申辩理由等方面进行审查，提出处理意见（主要证据不足时，以适当的方式补充调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4.告知责任（电力核电处、煤炭油气处、新能源和可再生能源处）：作出行政处罚决定前，应当告知当事人违法事实及其享有的陈述、申辩等权利。符合听证规定的，告知申请听证的权利。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5.决定责任（电力核电处、煤炭油气处、新能源和可再生能源处）：制作行政处罚决定书，载明行政处罚告知、当事人陈述申辩或者听证情况等内容。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6.送达责任（综合处）：行政处罚决定书按法律规定的方式送达当事人。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7.执行责任（电力核电处、煤炭油气处、新能源和可再生能源处）：依照生效的行政处罚责任，监督当事人履行，当事人不履行的申请法院强制执行。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8.监督责任（电力核电处、煤炭油气处、新能源和可再生能源处）：对处罚决定执行情况进行监督检查。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D94F8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1.【法律】《中华人民共和国行政处罚法》第四十条：公民、法人或者其他组织违反行政管理秩序的行为，依法应当给予行政处罚的，行政机关必须查明事实；违法事实不清、证据不足的，不得给予行政处罚。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四条：行政机关在作出行政处罚决定之前，应当告知当事人拟作出行政处罚内容及事实、理由、依据，并告知当事人依法享有的陈述、申辩、要求听证等权利。第四十五条：当事人有权进行陈述和申辩。行政机关必须充分听取当事人的意见，对当事人提出的事实、理由或者证据成立的，行政机关应当采纳。行政机关不得因当事人陈述、申辩而给予更重的处罚。第六十三条：行政机关拟作出下列处罚决定，应当告知当事人有要求举行听证的权利；当事人要求听证的，行政机关应当组织听证：（一）较大数额罚款；（二）没收较大数额违法所得、没收较大价值非法财物；（三）降低资质等级、吊销许可证；（四）责令停产停业、责令关闭、限制从业；（五 ）其他较重的行政处罚；（六）法律、法规、规章规定的其他情形。当事人不承担行政机关组织听证的费用。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行政处罚决定依法作出后，当事人应当在行政处罚决定书载明的期限内，予以履行。第七十二条：当事人逾期不履行行政处罚决定的，作出行政处罚决定的行政机关可以采取下列措施：（一）到期不交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8.【法律】《中华人民共和国行政处罚法》第七十五条：行政机关应当建立健全对行政处罚的监督制度。</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8CB95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13EDA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1.《行政处罚法》第75条：行政机关实施行政处罚应当接受社会监督。公民、法人或者其他组织对行政机关实施行政处罚的行为，有权申诉或者检举；行政机关应当认真审查，发现有错误的，应当主动改正。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处罚法》第76条：行政机关实施行政处罚，有下列情形之一的，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行政处罚法》第79条：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行政处罚法》第27条：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7.同2。</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1D297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7CF350">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1132F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59F11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347F83">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69334B">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企业、事业单位、社会团体等未按法律、法规进行项目备案的处罚</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E4BD5B">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C41C4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A7F1D6">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电力核电处、煤炭油气处、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70291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企业投资项目核准和备案管理条例》（2016年国务院令第673号）第十九条：实行备案管理的项目，企业未依照本条例规定将项目信息或者已备案项目的信息变更情况告知备案机关，由备案机关责令限期改正；逾期不改正的，处2万元以上5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企业投资项目核准和备案管理办法》（2017年国家发展和改革委员会令第2号）第五十七条：实行备案管理的项目，企业未依法将项目信息或者已备案项目信息变更情况告知备案机关，或者向备案机关提供虚假信息的，由备案机关责令限期改正；逾期不改正的，处 2 万元以上 5 万元以下的罚款。</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3.【部门规章】《企业投资项目事中事后监管办法》（2018年1月4日国家发展改革委令第14号公布，自2018年2月4日施行，2023年3月23日修订） 第十八条：项目建设与备案信息不符的，备案机关应当责令限期改正；逾期不改正的，依法处以罚款并列入失信企业名单，向社会公开。</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BB0D32">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1.立案责任（综合处）：对涉嫌违法行为的信息来源进行审查、记录，属本部门受理的进行审核，决定是否立案调查。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取证责任（电力核电处、煤炭油气处、新能源和可再生能源处）：对立案的案件，指定专人负责，及时组织调查取证，与当事人有直接利害关系的回避。调查时应出示执法证件，允许当事人辩解陈述，执法人员应保守有关秘密，客观公正地进行取证，并做好记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核责任（电力核电处、煤炭油气处、新能源和可再生能源处）：审理案件调查报告，对案件违法事实、证据、调查取证程序、法律适用、处罚种类和幅度、当事人陈述和申辩理由等方面进行审查，提出处理意见（主要证据不足时，以适当的方式补充调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4.告知责任（电力核电处、煤炭油气处、新能源和可再生能源处）：作出行政处罚决定前，应当告知当事人违法事实及其享有的陈述、申辩等权利。符合听证规定的，告知申请听证的权利。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5.决定责任（电力核电处、煤炭油气处、新能源和可再生能源处）：制作行政处罚决定书，载明行政处罚告知、当事人陈述申辩或者听证情况等内容。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6.送达责任（综合处）：行政处罚决定书按法律规定的方式送达当事人。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7.执行责任（电力核电处、煤炭油气处、新能源和可再生能源处）：依照生效的行政处罚责任，监督当事人履行，当事人不履行的申请法院强制执行。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8.监督责任（电力核电处、煤炭油气处、新能源和可再生能源处）：对处罚决定执行情况进行监督检查。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F93B1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1.【法律】《中华人民共和国行政处罚法》第四十条：公民、法人或者其他组织违反行政管理秩序的行为，依法应当给予行政处罚的，行政机关必须查明事实；违法事实不清、证据不足的，不得给予行政处罚。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四条：行政机关在作出行政处罚决定之前，应当告知当事人拟作出行政处罚内容及事实、理由、依据，并告知当事人依法享有的陈述、申辩、要求听证等权利。第四十五条：当事人有权进行陈述和申辩。行政机关必须充分听取当事人的意见，对当事人提出的事实、理由或者证据成立的，行政机关应当采纳。行政机关不得因当事人陈述、申辩而给予更重的处罚。第六十三条：行政机关拟作出下列处罚决定，应当告知当事人有要求举行听证的权利；当事人要求听证的，行政机关应当组织听证：（一）较大数额罚款；（二）没收较大数额违法所得、没收较大价值非法财物；（三）降低资质等级、吊销许可证；（四）责令停产停业、责令关闭、限制从业；（五 ）其他较重的行政处罚；（六）法律、法规、规章规定的其他情形。当事人不承担行政机关组织听证的费用。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行政处罚决定依法作出后，当事人应当在行政处罚决定书载明的期限内，予以履行。第七十二条：当事人逾期不履行行政处罚决定的，作出行政处罚决定的行政机关可以采取下列措施：（一）到期不交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8.【法律】《中华人民共和国行政处罚法》第七十五条：行政机关应当建立健全对行政处罚的监督制度。</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C4F59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F867BC">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1.《行政处罚法》第75条：行政机关实施行政处罚应当接受社会监督。公民、法人或者其他组织对行政机关实施行政处罚的行为，有权申诉或者检举；行政机关应当认真审查，发现有错误的，应当主动改正。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处罚法》第76条：行政机关实施行政处罚，有下列情形之一的，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行政处罚法》第79条：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行政处罚法》第27条：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7.同2。</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22A798">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D748A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0085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10FF6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7</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E40CF6">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DE606E">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企业、事业单位、社会团体等未按法律、法规进行项目核准的处罚</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0A1403">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EB1694">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87866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电力核电处、煤炭油气处、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173FF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企业投资项目核准和备案管理条例》（2016年国务院令第673号）第十八条：实行核准管理的项目，企业未依照本条例规定办理核准手续开工建设或者未按照核准的建设地点、建设规模、建设内容等进行建设的，由核准机关责令停止建设或者责令停产，对企业处项目总投资额1‰以上5‰以下的罚款；对直接负责的主管人员和其他直接责任人员处2万元以上5万元以下的罚款，属于国家工作人员的，依法给予处分。以欺骗、贿赂等不正当手段取得项目核准文件，尚未开工建设的，由核准机关撤销核准文件，处项目总投资额1‰以上5‰以下的罚款；已经开工建设的，依照前款规定予以处罚；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部门规章】《企业投资项目核准和备案管理办法》（2017年国家发展和改革委员会令第2号）第五十六条：实行核准管理的项目，企业未依法办理核准手续开工建设或者未按照核准的建设地点、建设规模、建设内容等进行建设的，由核准机关责令停止建设或者责令停产，对企业处项目总投资额 1‰以上 5‰以下的罚款；对直接负责的主管人员和其他直接责任人员处2万元以上5万元以下的罚款，属于国家工作人员的，依法给予处分。项目应视情况予以拆除或者补办相关手续。以欺骗、贿赂等不正当手段取得项目核准文件，尚未开工建设的，由核准机关撤销核准文件，处项目总投资额 1‰以上5‰以下的罚款；已经开工建设的，依照前款规定予以处罚；构成犯罪的，依法追究刑事责任。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部门规章】《企业投资项目事中事后监管办法》（2018年1月4日国家发展改革委令第14号公布，自2018年2月4日施行，2023年3月23日修订）第十条：项目未按规定办理核准批复文件、项目变更批复文件或者批复文件失效后开工建设的，核准机关应当依法责令停止建设或者责令停产，并依法处以罚款。第十一条：项目未按照核准的建设地点、建设规模、建设内容等进行建设的，核准机关应当依法责令停止建设或者责令停产，并依法处以罚款。第十二条：县级以上地方发展改革部门发现本行政区域内的项目列入《政府核准的投资项目目录》，但未依法办理核准批复文件、项目变更批复文件或者批复文件失效后开工建设的，应当报告对该项目有核准权限的机关，由核准机关依法责令停止建设或者责令停产，并依法处以罚款。</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84F4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1.立案责任（综合处）：对涉嫌违法行为的信息来源进行审查、记录，属本部门受理的进行审核，决定是否立案调查。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调查取证责任（电力核电处、煤炭油气处、新能源和可再生能源处）：对立案的案件，指定专人负责，及时组织调查取证，与当事人有直接利害关系的回避。调查时应出示执法证件，允许当事人辩解陈述，执法人员应保守有关秘密，客观公正地进行取证，并做好记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审核责任（电力核电处、煤炭油气处、新能源和可再生能源处）：审理案件调查报告，对案件违法事实、证据、调查取证程序、法律适用、处罚种类和幅度、当事人陈述和申辩理由等方面进行审查，提出处理意见（主要证据不足时，以适当的方式补充调查），提出处理意见。</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4.告知责任（电力核电处、煤炭油气处、新能源和可再生能源处）：作出行政处罚决定前，应当告知当事人违法事实及其享有的陈述、申辩等权利。符合听证规定的，告知申请听证的权利。</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5.决定责任（电力核电处、煤炭油气处、新能源和可再生能源处）：制作行政处罚决定书，载明行政处罚告知、当事人陈述申辩或者听证情况等内容。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6.送达责任（综合处）：行政处罚决定书按法律规定的方式送达当事人。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7.执行责任（电力核电处、煤炭油气处、新能源和可再生能源处）：依照生效的行政处罚责任，监督当事人履行，当事人不履行的申请法院强制执行。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8.监督责任（电力核电处、煤炭油气处、新能源和可再生能源处）：对处罚决定执行情况进行监督检查。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9.其他法律法规规章文件规定应履行的责任（有关处室）。</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582EB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1.【法律】《中华人民共和国行政处罚法》第四十条：公民、法人或者其他组织违反行政管理秩序的行为，依法应当给予行政处罚的，行政机关必须查明事实；违法事实不清、证据不足的，不得给予行政处罚。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行政处罚法》第五十四条：除本法第五十一条规定的可以当场作出的行政处罚外，行政机关发现公民、法人或者其他组织有依法应当给予行政处罚的行为的，必须全面、客观、公正地调查，收集有关证据；必要时，依照法律、法规的规定，可以进行检查。第五十六条：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法律】《中华人民共和国行政处罚法》第五十七条：调查终结，行政机关负责人应当对调查结果进行审查，根据不同情况，分别作出如下决定：（一）确有应受行政处罚的违法行为的，根据情节轻重及具体情况，作出行政处罚决定；（二）违法行为轻微，依法可以不予行政处罚的，不予行政处罚；（三）违法事实不能成立的，不予行政处罚；（四）违法行为涉嫌犯罪的，移送司法机关。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中华人民共和国行政处罚法》第四十四条：行政机关在作出行政处罚决定之前，应当告知当事人拟作出行政处罚内容及事实、理由、依据，并告知当事人依法享有的陈述、申辩、要求听证等权利。第四十五条：当事人有权进行陈述和申辩。行政机关必须充分听取当事人的意见，对当事人提出的事实、理由或者证据成立的，行政机关应当采纳。行政机关不得因当事人陈述、申辩而给予更重的处罚。第六十三条：行政机关拟作出下列处罚决定，应当告知当事人有要求举行听证的权利；当事人要求听证的，行政机关应当组织听证：（一）较大数额罚款；（二）没收较大数额违法所得、没收较大价值非法财物；（三）降低资质等级、吊销许可证；（四）责令停产停业、责令关闭、限制从业；（五 ）其他较重的行政处罚；（六）法律、法规、规章规定的其他情形。当事人不承担行政机关组织听证的费用。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法律】《中华人民共和国行政处罚法》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法律】《中华人民共和国行政处罚法》第六十六条：行政处罚决定依法作出后，当事人应当在行政处罚决定书载明的期限内，予以履行。第七十二条：当事人逾期不履行行政处罚决定的，作出行政处罚决定的行政机关可以采取下列措施：（一）到期不交纳罚款的，每日按罚款数额的百分之三加处罚款，加处罚款的数额不得超出罚款的数额；（二）根据法律规定，将查封、扣押的财物拍卖、依法处理或者将冻结的存款、汇款划拨抵缴罚款；（三）根据法律规定，采取其他行政强制执行方式；（四）依照《中华人民共和国行政强制法》的规定申请人民法院强制执行。</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8.【法律】《中华人民共和国行政处罚法》第七十五条：行政机关应当建立健全对行政处罚的监督制度。</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93FD77">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因不履行或不正确履行职责，有下列情形的行政机关及相关工作人员应承担相应的责任：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1.不具备行政处罚主体资格（机关纪委）；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2.没有事实和法律依据（机关纪委）；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3.擅自改变处罚种类、幅度（机关纪委）；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4.违反法定程序（机关纪委）；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5.违法处理罚没财物（机关纪委）；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6.涉嫌犯罪，不移交司法机关（机关纪委）；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7.对违法行为应当处罚不处罚或者乱处罚（机关纪委）；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8.除以上追责情形外，其他违反法律法规规章的行为依法追究相应责任（机关纪委）。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E71793">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中华人民共和国行政处罚法》第75条：行政机关实施行政处罚应当接受社会监督。公民、法人或者其他组织对行政机关实施行政处罚的行为，有权申诉或者检举；行政机关应当认真审查，发现有错误的，应当主动改正。</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中华人民共和国行政处罚法》第76条：行政机关实施行政处罚，有下列情形之一的，由上级行政机关或者有关机关责令改正，对直接负责的主管人员和其他直接责任人员依法给予处分：(一)没有法定的行政处罚依据的；(二)擅自改变行政处罚种类、幅度的；(三)违反法定的行政处罚程序的；(四)违反本法第二十条关于委托处罚的规定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4.同2。</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中华人民共和国行政处罚法》第79条：行政机关截留、私分或者变相私分罚款、没收的违法所得或者财物的，由财政部门或者有关机关予以追缴，对直接负责的主管人员和其他直接责任人员依法给予处分；情节严重构成犯罪的，依法追究刑事责任。执法人员利用职务上的便利，索取或者收受他人财物、将收缴罚款据为己有，构成犯罪的，依法追究刑事责任；情节轻微不构成犯罪的，依法给予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中华人民共和国行政处罚法》第27条：违法行为涉嫌犯罪的，行政机关应当及时将案件移送司法机关，依法追究刑事责任。对依法不需要追究刑事责任或者免予刑事处罚，但应当给予行政处罚的，司法机关应当及时将案件移送有关行政机关。</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7.同2。</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5B0D7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B04CC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r w14:paraId="3B954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065022">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8</w:t>
            </w:r>
          </w:p>
        </w:tc>
        <w:tc>
          <w:tcPr>
            <w:tcW w:w="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144F5A">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行政检查</w:t>
            </w: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17E7D8">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对能源行业安全生产、监管的检查</w:t>
            </w:r>
          </w:p>
        </w:tc>
        <w:tc>
          <w:tcPr>
            <w:tcW w:w="70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EF931E">
            <w:pPr>
              <w:keepNext w:val="0"/>
              <w:keepLines w:val="0"/>
              <w:pageBreakBefore w:val="0"/>
              <w:widowControl/>
              <w:kinsoku/>
              <w:wordWrap/>
              <w:overflowPunct/>
              <w:topLinePunct w:val="0"/>
              <w:autoSpaceDE/>
              <w:autoSpaceDN/>
              <w:bidi w:val="0"/>
              <w:adjustRightInd/>
              <w:snapToGrid/>
              <w:spacing w:line="236" w:lineRule="exact"/>
              <w:jc w:val="center"/>
              <w:rPr>
                <w:rFonts w:hint="default" w:ascii="Times New Roman" w:hAnsi="Times New Roman" w:eastAsia="方正书宋_GBK" w:cs="Times New Roman"/>
                <w:i w:val="0"/>
                <w:color w:val="000000"/>
                <w:sz w:val="21"/>
                <w:szCs w:val="21"/>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60FCCC">
            <w:pPr>
              <w:keepNext w:val="0"/>
              <w:keepLines w:val="0"/>
              <w:pageBreakBefore w:val="0"/>
              <w:widowControl/>
              <w:suppressLineNumbers w:val="0"/>
              <w:kinsoku/>
              <w:wordWrap/>
              <w:overflowPunct/>
              <w:topLinePunct w:val="0"/>
              <w:autoSpaceDE/>
              <w:autoSpaceDN/>
              <w:bidi w:val="0"/>
              <w:adjustRightInd/>
              <w:snapToGrid/>
              <w:spacing w:line="236" w:lineRule="exact"/>
              <w:jc w:val="center"/>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自治区能源局</w:t>
            </w:r>
          </w:p>
        </w:tc>
        <w:tc>
          <w:tcPr>
            <w:tcW w:w="109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2E8BE5">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市场安监处、电力核电处、煤炭油气处、</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新能源和可再生能源处</w:t>
            </w:r>
          </w:p>
        </w:tc>
        <w:tc>
          <w:tcPr>
            <w:tcW w:w="217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ABC28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行政法规】《中华人民共和国安全生产法》（2021年修订）第十条：...，县级以上地方各级人民政府有关部门依照本法和其他有关法律、行政法规对有关行业、领域的安全生产工作实施监督管理；第六十五条：应急管理部门和其他负有安全生产监督管理职责的部门依法开展安全生产行政执法工作，对生产经营单位执行有关安全生产的法律、法规和国家标准或者行业标准的情况进行监督检查，行使以下职权：（一）进入生产经营单位进行检查，...。（二）对检查中发现的安全生产违法行为，当场予以纠正或者要求限期整改；对依法应当给予行政处罚的行为，依照本法和其他有关法律、行政法规的规定作出行政处罚决定。（三）对检查中发现的事故安全隐患，应当责令立即排除，...。</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行政法规】《中华人民共和国电力法》（2018年修订）第十八条：电力生产与电网运行遵循安全、优质、经济的核心原则，确保电网连续、稳定运行，从而保障供电的可靠性；第五十六条：电力管理部门依法对电力企业和用户执行电力法律、行政法规的情况进行监督和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3.【行政法规】《中华人民共和国煤炭法》（2016年修订）第十二条：县级以上地方人民政府煤炭管理部门和有关部门在各自的职责范围内负责煤炭行业的监督管理。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行政法规】《中华人民共和国石油天然气管道保护法》第五条：省、自治区、直辖市人民政府能源主管部门和设区市级、县级人民政府制定的部门，依照本法规定主管本行政区域的管道保护工作，协调处理本行政区域管道的重大问题，指导、监督有关单位履行管道保护义务，依法查处危害管道安全的违法行为。</w:t>
            </w:r>
          </w:p>
        </w:tc>
        <w:tc>
          <w:tcPr>
            <w:tcW w:w="26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4EDAFE">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1.告知责任（市场安监处、电力核电处、煤炭油气处、新能源和可再生能源处）: 向行政相对人送达行政检查通知，告知检查依据、涉及事项、检查时间及需提前准备资料等事项。</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2.检查责任（市场安监处、电力核电处、煤炭油气处、新能源和可再生能源处）：根据检查方案，实行组长负责制，对行政相对人开展行政检查。</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处理责任（市场安监处、电力核电处、煤炭油气处、新能源和可再生能源处）：依次分别做好行政检查组所提交报告的审核、行政处理（包括但不限于责令限期改正、行政处罚、行政移送、对检查发现问题改正情况开展检查等）、立卷归档等。</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4.法律法规规章文件规定的其他应履行的责任（市场安监处、电力核电处、煤炭油气处、新能源和可再生能源处）。</w:t>
            </w:r>
          </w:p>
        </w:tc>
        <w:tc>
          <w:tcPr>
            <w:tcW w:w="338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0EE34A">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法律】《中华人民共和国安全生产法》第六十八条：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检查职责的部门报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2.【法律】《中华人民共和国安全生产法》第六十七条：安全生产监督管理人员应当忠于职守，坚持原则，秉公执法。</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3-1.【法律】《中华人民共和国行政处罚法》第五十七条：调查终结，行政机关负责人应当对调查结果进行审查，根据不同情况，分别作出如下决定：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（一）确有应受行政处罚的违法行为的，根据情节轻重及具体情况，作出行政处罚决定；（二）违法行为轻微，依法可以不予行政处罚的，不予行政处罚；（三）违法事实不能成立的，不予行政处罚；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（四）违法行为涉嫌犯罪的，移送司法机关。对情节复杂或者重大违法行为给予行政处罚，行政机关负责人应当集体讨论决定；</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-2.【法律】《中华人民共和国行政处罚法》第四十四条：行政机关在作出行政处罚决定之前，应当告知当事人拟作出行政处罚内容及事实、理由、依据，并告知当事人依法享有的陈述、申辩、要求听证等权利。第四十五条：当事人有权进行陈述和申辩。行政机关必须充分听取当事人的意见，对当事人提出的事实、理由或者证据成立的，行政机关应当采纳。行政机关不得因当事人陈述、申辩而给予更重的处罚。第六十三条：行政机关拟作出下列处罚决定，应当告知当事人有要求举行听证的权利；当事人要求听证的，行政机关应当组织听证：（一）较大数额罚款；（二）没收较大数额违法所得、没收较大价值非法财物；（三）降低资质等级、吊销许可证；（四）责令停产停业、责令关闭、限制从业；（五 ）其他较重的行政处罚；（六）法律、法规、规章规定的其他情形。当事人不承担行政机关组织听证的费用。</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-3.【法律】《中华人民共和国行政处罚法》第五十九条：行政机关依照本法第五十七条的规定给予行政处罚，应当制作行政处罚决定书。行政处罚决定书应当载明下列事项：（一）当事人的姓名或者名称、地址；（二）违反法律、法规、规章的事实和证据；（三）行政处罚的种类和依据；（四）行政处罚的履行方式和期限；（五）申请行政复议、提起行政诉讼的途径和期限；（六）作出行政处罚决定的行政机关名称和作出决定的日期。行政处罚决定书必须盖有作出行政处罚决定的行政机关的印章。</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-4.【法律】《中华人民共和国行政处罚法》第六十一条：行政处罚决定书应当在宣告后当场交付当事人；当事人不在场的，行政机关应当在七日内依照《中华人民共和国民事诉讼法》的有关规定，将行政处罚决定书送达当事人。</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3-5.【法律】《中华人民共和国行政处罚法》第七十五条：行政机关应当建立健全对行政处罚的监督制度。</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4.同3。</w:t>
            </w:r>
          </w:p>
        </w:tc>
        <w:tc>
          <w:tcPr>
            <w:tcW w:w="294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434EDD">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因不履行或不正确履行行政职责，有下列情形的，行政机关及相关工作人员应承担相应责任：</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1.没有法定或者规定依据实施检查（机关纪委）；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2.没有具体理由、事项、内容、对象实施检查（机关纪委）；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3.放弃、推诿、拖延、拒绝履行检查职责（机关纪委）；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4.发现违法行为不依法制止、纠正（机关纪委）；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5.侵犯被检查对象合法权益（机关纪委）；</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6.除以上追责情形外，其他违反法律法规规章的行为依法追究相应责任（机关纪委）。</w:t>
            </w:r>
          </w:p>
        </w:tc>
        <w:tc>
          <w:tcPr>
            <w:tcW w:w="324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A43549">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1-1.【法律】《中华人民共和国公务员法》第五十九条：公务员应当遵纪守法，不得有下列行为：……,（十）滥用职权，侵害公民、法人或者其他组织的合法权益；</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1-2.【法律】《中华人民共和国监察法》第十一条：监察委员会依照本法和有关法律规定履行监督、调查、处置职责：（一）对公职人员开展廉政教育，对其依法履职、秉公用权、廉洁从政从业以及道德操守情况进行监督检查；（二）对涉嫌贪污贿赂、滥用职权、玩忽职守、权力寻租、利益输送、徇私舞弊以及浪费国家资财等职务违法和职务犯罪进行调查；（三）对违法的公职人员依法作出政务处分决定；对履行职责不力、失职失责的领导人员进行问责；对涉嫌职务犯罪的，将调查结果移送人民检察院依法审查、提起公诉；向监察对象所在单位提出监察建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2.同1。</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3.【党纪】《中国共产党纪律处分条例》（2003年12月23日中共中央政治局会议审议批准 2003年12月31日中共中央发布 2023年12月8日中共中央政治局会议第三次修订 2023年12月19日中共中央发布）第一百三十条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4.《中华人民共和国监察法》第十一条：监察委员会依照本法和有关法律规定履行监督、调查、处置职责：......，（三）对违法的公职人员依法作出政务处分决定；对履行职责不力、失职失责的领导人员进行问责；对涉嫌职务犯罪的，将调查结果移送人民检察院依法审查、提起公诉；向监察对象所在单位提出监察建议。</w:t>
            </w:r>
            <w:r>
              <w:rPr>
                <w:rFonts w:hint="default" w:ascii="Times New Roman" w:hAnsi="Times New Roman" w:eastAsia="方正书宋_GBK" w:cs="Times New Roman"/>
                <w:i w:val="0"/>
                <w:color w:val="000000"/>
                <w:kern w:val="0"/>
                <w:sz w:val="21"/>
                <w:szCs w:val="21"/>
                <w:u w:val="none"/>
                <w:lang w:val="en-US" w:eastAsia="zh-CN" w:bidi="ar"/>
              </w:rPr>
              <w:br w:type="textWrapping"/>
            </w:r>
            <w:r>
              <w:rPr>
                <w:rFonts w:hint="default" w:ascii="Times New Roman" w:hAnsi="Times New Roman" w:eastAsia="方正书宋_GBK" w:cs="Times New Roman"/>
                <w:i w:val="0"/>
                <w:color w:val="000000"/>
                <w:kern w:val="0"/>
                <w:sz w:val="21"/>
                <w:szCs w:val="21"/>
                <w:u w:val="none"/>
                <w:lang w:val="en-US" w:eastAsia="zh-CN" w:bidi="ar"/>
              </w:rPr>
              <w:t>5.同1。</w:t>
            </w:r>
          </w:p>
        </w:tc>
        <w:tc>
          <w:tcPr>
            <w:tcW w:w="168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19986B">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r>
              <w:rPr>
                <w:rFonts w:hint="default" w:ascii="Times New Roman" w:hAnsi="Times New Roman" w:eastAsia="方正书宋_GBK" w:cs="Times New Roman"/>
                <w:i w:val="0"/>
                <w:color w:val="000000"/>
                <w:kern w:val="0"/>
                <w:sz w:val="21"/>
                <w:szCs w:val="21"/>
                <w:u w:val="none"/>
                <w:lang w:val="en-US" w:eastAsia="zh-CN" w:bidi="ar"/>
              </w:rPr>
              <w:t>法律法规规章规定的免责情形以及《自治区党委办公厅关于印发〈深入推进激励干部新时代新担当新作为工作实施方案〉等6个文件的通知》中明确的免责情形。</w:t>
            </w:r>
          </w:p>
        </w:tc>
        <w:tc>
          <w:tcPr>
            <w:tcW w:w="44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299DC1">
            <w:pPr>
              <w:keepNext w:val="0"/>
              <w:keepLines w:val="0"/>
              <w:pageBreakBefore w:val="0"/>
              <w:widowControl/>
              <w:suppressLineNumbers w:val="0"/>
              <w:kinsoku/>
              <w:wordWrap/>
              <w:overflowPunct/>
              <w:topLinePunct w:val="0"/>
              <w:autoSpaceDE/>
              <w:autoSpaceDN/>
              <w:bidi w:val="0"/>
              <w:adjustRightInd/>
              <w:snapToGrid/>
              <w:spacing w:line="236" w:lineRule="exact"/>
              <w:jc w:val="left"/>
              <w:textAlignment w:val="center"/>
              <w:rPr>
                <w:rFonts w:hint="default" w:ascii="Times New Roman" w:hAnsi="Times New Roman" w:eastAsia="方正书宋_GBK" w:cs="Times New Roman"/>
                <w:i w:val="0"/>
                <w:color w:val="000000"/>
                <w:sz w:val="21"/>
                <w:szCs w:val="21"/>
                <w:u w:val="none"/>
              </w:rPr>
            </w:pPr>
          </w:p>
        </w:tc>
      </w:tr>
    </w:tbl>
    <w:p w14:paraId="5E00EC2E">
      <w:pPr>
        <w:rPr>
          <w:rFonts w:hint="default" w:ascii="Times New Roman" w:hAnsi="Times New Roman" w:cs="Times New Roman"/>
          <w:lang w:val="en-US" w:eastAsia="zh-CN"/>
        </w:rPr>
      </w:pPr>
    </w:p>
    <w:sectPr>
      <w:footerReference r:id="rId3" w:type="default"/>
      <w:pgSz w:w="23811" w:h="16838" w:orient="landscape"/>
      <w:pgMar w:top="1417" w:right="1417" w:bottom="1417" w:left="1417" w:header="851" w:footer="1020"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11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1F65C">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A1F65C">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884E95"/>
    <w:rsid w:val="025F28B4"/>
    <w:rsid w:val="03B96EA9"/>
    <w:rsid w:val="03F13F09"/>
    <w:rsid w:val="0583779A"/>
    <w:rsid w:val="06B44F09"/>
    <w:rsid w:val="084B6C7C"/>
    <w:rsid w:val="085C6BC2"/>
    <w:rsid w:val="091E4702"/>
    <w:rsid w:val="09BD6B8A"/>
    <w:rsid w:val="09D11FA7"/>
    <w:rsid w:val="0A546A76"/>
    <w:rsid w:val="0B1A7334"/>
    <w:rsid w:val="0CC71781"/>
    <w:rsid w:val="0D824CB0"/>
    <w:rsid w:val="0D97043F"/>
    <w:rsid w:val="0DEC4222"/>
    <w:rsid w:val="0E326F1D"/>
    <w:rsid w:val="0ECD551C"/>
    <w:rsid w:val="10923340"/>
    <w:rsid w:val="110C1984"/>
    <w:rsid w:val="11E36164"/>
    <w:rsid w:val="121B2FF3"/>
    <w:rsid w:val="129B431A"/>
    <w:rsid w:val="13CB3A86"/>
    <w:rsid w:val="141476FE"/>
    <w:rsid w:val="15512530"/>
    <w:rsid w:val="168D111C"/>
    <w:rsid w:val="17086ECB"/>
    <w:rsid w:val="18371811"/>
    <w:rsid w:val="18AD6B08"/>
    <w:rsid w:val="1AB12B62"/>
    <w:rsid w:val="1AEB73B7"/>
    <w:rsid w:val="1B490F46"/>
    <w:rsid w:val="1F3B27C4"/>
    <w:rsid w:val="20A21196"/>
    <w:rsid w:val="21E2743B"/>
    <w:rsid w:val="23495BF2"/>
    <w:rsid w:val="239B378B"/>
    <w:rsid w:val="28671362"/>
    <w:rsid w:val="28AD1D1C"/>
    <w:rsid w:val="29303DA4"/>
    <w:rsid w:val="29596ADD"/>
    <w:rsid w:val="297D349C"/>
    <w:rsid w:val="2A234631"/>
    <w:rsid w:val="2A652B1C"/>
    <w:rsid w:val="2ABA1602"/>
    <w:rsid w:val="2CD03F71"/>
    <w:rsid w:val="2F727CE6"/>
    <w:rsid w:val="34A30568"/>
    <w:rsid w:val="36E70B22"/>
    <w:rsid w:val="3839731F"/>
    <w:rsid w:val="387F1B3D"/>
    <w:rsid w:val="38D428CC"/>
    <w:rsid w:val="3A2F6D33"/>
    <w:rsid w:val="3BC02F13"/>
    <w:rsid w:val="3CD3535A"/>
    <w:rsid w:val="40346341"/>
    <w:rsid w:val="417340EF"/>
    <w:rsid w:val="41947EA6"/>
    <w:rsid w:val="41DE379E"/>
    <w:rsid w:val="4490658A"/>
    <w:rsid w:val="457512AD"/>
    <w:rsid w:val="45EA5542"/>
    <w:rsid w:val="46A12F87"/>
    <w:rsid w:val="48AE17FE"/>
    <w:rsid w:val="4AC27530"/>
    <w:rsid w:val="4AD14F9E"/>
    <w:rsid w:val="4C636F69"/>
    <w:rsid w:val="4D917E52"/>
    <w:rsid w:val="4D9642D9"/>
    <w:rsid w:val="4DC0326F"/>
    <w:rsid w:val="4ED65279"/>
    <w:rsid w:val="4F316B35"/>
    <w:rsid w:val="4FE33B1E"/>
    <w:rsid w:val="501E4BFD"/>
    <w:rsid w:val="50BD0CC9"/>
    <w:rsid w:val="5139389D"/>
    <w:rsid w:val="514242FC"/>
    <w:rsid w:val="53F74227"/>
    <w:rsid w:val="554B44BE"/>
    <w:rsid w:val="554E6B03"/>
    <w:rsid w:val="57E809C6"/>
    <w:rsid w:val="59851D75"/>
    <w:rsid w:val="5A0401ED"/>
    <w:rsid w:val="5B8759B9"/>
    <w:rsid w:val="5CA16106"/>
    <w:rsid w:val="5D3778FE"/>
    <w:rsid w:val="5DE97722"/>
    <w:rsid w:val="5DF32230"/>
    <w:rsid w:val="5E1C257C"/>
    <w:rsid w:val="5FD108D5"/>
    <w:rsid w:val="630755A9"/>
    <w:rsid w:val="6360460B"/>
    <w:rsid w:val="638A155C"/>
    <w:rsid w:val="63D351D4"/>
    <w:rsid w:val="651D7774"/>
    <w:rsid w:val="653B6D24"/>
    <w:rsid w:val="65B43F09"/>
    <w:rsid w:val="68C12D37"/>
    <w:rsid w:val="68C83A2C"/>
    <w:rsid w:val="68E1497D"/>
    <w:rsid w:val="6A2B6B3C"/>
    <w:rsid w:val="6AEE32B2"/>
    <w:rsid w:val="6B2931DC"/>
    <w:rsid w:val="6E884E95"/>
    <w:rsid w:val="6E992F04"/>
    <w:rsid w:val="71D62051"/>
    <w:rsid w:val="73806A8E"/>
    <w:rsid w:val="73946B2F"/>
    <w:rsid w:val="74B62489"/>
    <w:rsid w:val="75362E12"/>
    <w:rsid w:val="762A1882"/>
    <w:rsid w:val="7650222A"/>
    <w:rsid w:val="768F268A"/>
    <w:rsid w:val="77A8025E"/>
    <w:rsid w:val="77CE7DB1"/>
    <w:rsid w:val="77F5035D"/>
    <w:rsid w:val="78437A4E"/>
    <w:rsid w:val="79232FCD"/>
    <w:rsid w:val="793A1DDD"/>
    <w:rsid w:val="7BD4388A"/>
    <w:rsid w:val="7C246D6F"/>
    <w:rsid w:val="7FAA0215"/>
    <w:rsid w:val="B3FF6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Times New Roman"/>
    <w:basedOn w:val="5"/>
    <w:qFormat/>
    <w:uiPriority w:val="0"/>
    <w:rPr>
      <w:rFonts w:ascii="Times New Roman" w:hAnsi="Times New Roman" w:eastAsia="Times New Roman" w:cs="Times New Roman"/>
      <w:sz w:val="21"/>
    </w:rPr>
  </w:style>
  <w:style w:type="character" w:customStyle="1" w:styleId="7">
    <w:name w:val="仿宋+t"/>
    <w:basedOn w:val="5"/>
    <w:qFormat/>
    <w:uiPriority w:val="0"/>
    <w:rPr>
      <w:rFonts w:ascii="Times New Roman" w:hAnsi="Times New Roman" w:eastAsia="方正仿宋_GBK"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25071</Words>
  <Characters>25522</Characters>
  <Lines>0</Lines>
  <Paragraphs>0</Paragraphs>
  <TotalTime>1</TotalTime>
  <ScaleCrop>false</ScaleCrop>
  <LinksUpToDate>false</LinksUpToDate>
  <CharactersWithSpaces>25544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2025-10-16T13:04:00Z</dcterms:created>
  <dc:creator>黎冬杏</dc:creator>
  <cp:lastModifiedBy>Atlas</cp:lastModifiedBy>
  <dcterms:modified xsi:type="dcterms:W3CDTF">2026-07-10T09:53:59Z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6247134D3A7A4AA1B20C034F8B55E091_13</vt:lpwstr>
  </property>
  <property fmtid="{D5CDD505-2E9C-101B-9397-08002B2CF9AE}" pid="4" name="KSOTemplateDocerSaveRecord">
    <vt:lpwstr>eyJoZGlkIjoiMGZmMjMzN2Y4NDQ5ZTBjYjA0NGVkNDg3NmI2YTJmNGIiLCJ1c2VySWQiOiIxMTIxODU0MTM1In0=</vt:lpwstr>
  </property>
</Properties>
</file>