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 w:firstLineChars="200"/>
        <w:textAlignment w:val="auto"/>
        <w:rPr>
          <w:rFonts w:hint="eastAsia" w:eastAsia="方正仿宋_GBK"/>
          <w:snapToGrid w:val="0"/>
          <w:color w:val="000000"/>
          <w:szCs w:val="32"/>
        </w:rPr>
      </w:pPr>
      <w:r>
        <w:rPr>
          <w:rFonts w:hint="eastAsia" w:eastAsia="方正仿宋_GBK"/>
          <w:snapToGrid w:val="0"/>
          <w:color w:val="00000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非涉密数据中心</w:t>
      </w:r>
      <w:r>
        <w:rPr>
          <w:rFonts w:hint="eastAsia" w:ascii="方正小标宋_GBK" w:eastAsia="方正小标宋_GBK"/>
          <w:snapToGrid w:val="0"/>
          <w:color w:val="000000"/>
          <w:sz w:val="44"/>
          <w:szCs w:val="44"/>
          <w:lang w:eastAsia="zh-CN"/>
        </w:rPr>
        <w:t>资源</w:t>
      </w: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统筹利用技术认定标准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90" w:lineRule="exact"/>
        <w:ind w:firstLine="640" w:firstLineChars="200"/>
        <w:jc w:val="both"/>
        <w:textAlignment w:val="auto"/>
        <w:rPr>
          <w:rFonts w:hint="eastAsia" w:eastAsia="方正仿宋_GBK"/>
          <w:bCs w:val="0"/>
          <w:snapToGrid w:val="0"/>
          <w:color w:val="000000"/>
          <w:sz w:val="32"/>
        </w:rPr>
      </w:pPr>
      <w:r>
        <w:rPr>
          <w:rFonts w:hint="eastAsia" w:eastAsia="方正仿宋_GBK"/>
          <w:snapToGrid w:val="0"/>
          <w:color w:val="000000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一、计算、存储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等</w:t>
      </w:r>
      <w:r>
        <w:rPr>
          <w:rFonts w:hint="eastAsia" w:eastAsia="方正仿宋_GBK" w:cs="宋体"/>
          <w:snapToGrid w:val="0"/>
          <w:color w:val="000000"/>
          <w:szCs w:val="32"/>
        </w:rPr>
        <w:t>资源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资产</w:t>
      </w:r>
      <w:r>
        <w:rPr>
          <w:rFonts w:hint="eastAsia" w:eastAsia="方正仿宋_GBK" w:cs="宋体"/>
          <w:snapToGrid w:val="0"/>
          <w:color w:val="000000"/>
          <w:szCs w:val="32"/>
        </w:rPr>
        <w:t>处于厂商维保期内的，列入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非涉密数据中心资源</w:t>
      </w:r>
      <w:r>
        <w:rPr>
          <w:rFonts w:hint="eastAsia" w:eastAsia="方正仿宋_GBK" w:cs="宋体"/>
          <w:snapToGrid w:val="0"/>
          <w:color w:val="000000"/>
          <w:szCs w:val="32"/>
        </w:rPr>
        <w:t>统筹利用范围；已达报废年限的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计算、存储等</w:t>
      </w:r>
      <w:r>
        <w:rPr>
          <w:rFonts w:hint="eastAsia" w:eastAsia="方正仿宋_GBK" w:cs="宋体"/>
          <w:snapToGrid w:val="0"/>
          <w:color w:val="000000"/>
          <w:szCs w:val="32"/>
        </w:rPr>
        <w:t>资源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资产的</w:t>
      </w:r>
      <w:r>
        <w:rPr>
          <w:rFonts w:hint="eastAsia" w:eastAsia="方正仿宋_GBK" w:cs="宋体"/>
          <w:snapToGrid w:val="0"/>
          <w:color w:val="000000"/>
          <w:szCs w:val="32"/>
        </w:rPr>
        <w:t>，不列入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非涉密数据中心资源</w:t>
      </w:r>
      <w:r>
        <w:rPr>
          <w:rFonts w:hint="eastAsia" w:eastAsia="方正仿宋_GBK" w:cs="宋体"/>
          <w:snapToGrid w:val="0"/>
          <w:color w:val="000000"/>
          <w:szCs w:val="32"/>
        </w:rPr>
        <w:t>统筹利用范围。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二、动力环境基础配套设施、机柜、网络和安全设备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等资源资产，</w:t>
      </w:r>
      <w:r>
        <w:rPr>
          <w:rFonts w:hint="eastAsia" w:eastAsia="方正仿宋_GBK" w:cs="宋体"/>
          <w:snapToGrid w:val="0"/>
          <w:color w:val="000000"/>
          <w:szCs w:val="32"/>
        </w:rPr>
        <w:t>原则上保留在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本</w:t>
      </w:r>
      <w:r>
        <w:rPr>
          <w:rFonts w:hint="eastAsia" w:eastAsia="方正仿宋_GBK" w:cs="宋体"/>
          <w:snapToGrid w:val="0"/>
          <w:color w:val="000000"/>
          <w:szCs w:val="32"/>
        </w:rPr>
        <w:t>部门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，</w:t>
      </w:r>
      <w:r>
        <w:rPr>
          <w:rFonts w:hint="eastAsia" w:eastAsia="方正仿宋_GBK" w:cs="宋体"/>
          <w:snapToGrid w:val="0"/>
          <w:color w:val="000000"/>
          <w:szCs w:val="32"/>
        </w:rPr>
        <w:t>作为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本</w:t>
      </w:r>
      <w:r>
        <w:rPr>
          <w:rFonts w:hint="eastAsia" w:eastAsia="方正仿宋_GBK" w:cs="宋体"/>
          <w:snapToGrid w:val="0"/>
          <w:color w:val="000000"/>
          <w:szCs w:val="32"/>
        </w:rPr>
        <w:t>部门局域网的基础网络、安全保障；闲置设备如空机柜、路由器、交换机、防火墙等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资源资产，应</w:t>
      </w:r>
      <w:r>
        <w:rPr>
          <w:rFonts w:hint="eastAsia" w:eastAsia="方正仿宋_GBK" w:cs="宋体"/>
          <w:snapToGrid w:val="0"/>
          <w:color w:val="000000"/>
          <w:szCs w:val="32"/>
        </w:rPr>
        <w:t>列入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非涉密数据中心资源</w:t>
      </w:r>
      <w:r>
        <w:rPr>
          <w:rFonts w:hint="eastAsia" w:eastAsia="方正仿宋_GBK" w:cs="宋体"/>
          <w:snapToGrid w:val="0"/>
          <w:color w:val="000000"/>
          <w:szCs w:val="32"/>
        </w:rPr>
        <w:t>统筹利用范围。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三、租用、借用的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eastAsia="方正仿宋_GBK" w:cs="宋体"/>
          <w:snapToGrid w:val="0"/>
          <w:color w:val="000000"/>
          <w:szCs w:val="32"/>
        </w:rPr>
        <w:t>或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eastAsia="方正仿宋_GBK" w:cs="宋体"/>
          <w:snapToGrid w:val="0"/>
          <w:color w:val="000000"/>
          <w:szCs w:val="32"/>
        </w:rPr>
        <w:t>资产属于第三方的，不列入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非涉密数据中心资源</w:t>
      </w:r>
      <w:r>
        <w:rPr>
          <w:rFonts w:hint="eastAsia" w:eastAsia="方正仿宋_GBK" w:cs="宋体"/>
          <w:snapToGrid w:val="0"/>
          <w:color w:val="000000"/>
          <w:szCs w:val="32"/>
        </w:rPr>
        <w:t>统筹利用范围。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四、对纳入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非涉密数据中心资源</w:t>
      </w:r>
      <w:r>
        <w:rPr>
          <w:rFonts w:hint="eastAsia" w:eastAsia="方正仿宋_GBK" w:cs="宋体"/>
          <w:snapToGrid w:val="0"/>
          <w:color w:val="000000"/>
          <w:szCs w:val="32"/>
        </w:rPr>
        <w:t>统筹利用范围的，根据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资源资产</w:t>
      </w:r>
      <w:r>
        <w:rPr>
          <w:rFonts w:hint="eastAsia" w:eastAsia="方正仿宋_GBK" w:cs="宋体"/>
          <w:snapToGrid w:val="0"/>
          <w:color w:val="000000"/>
          <w:szCs w:val="32"/>
        </w:rPr>
        <w:t>的生产日期、使用年限、配置等因素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，</w:t>
      </w:r>
      <w:r>
        <w:rPr>
          <w:rFonts w:hint="eastAsia" w:eastAsia="方正仿宋_GBK" w:cs="宋体"/>
          <w:snapToGrid w:val="0"/>
          <w:color w:val="000000"/>
          <w:szCs w:val="32"/>
        </w:rPr>
        <w:t>充分考虑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eastAsia="方正仿宋_GBK" w:cs="宋体"/>
          <w:snapToGrid w:val="0"/>
          <w:color w:val="000000"/>
          <w:szCs w:val="32"/>
        </w:rPr>
        <w:t>利旧的方式和用途：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  <w:lang w:eastAsia="zh-CN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（一）对生产日期在2018年之后、使用年限在2年内、维保期剩余超过1年以上的中、高性能物理服务器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，</w:t>
      </w:r>
      <w:r>
        <w:rPr>
          <w:rFonts w:hint="eastAsia" w:eastAsia="方正仿宋_GBK" w:cs="宋体"/>
          <w:snapToGrid w:val="0"/>
          <w:color w:val="000000"/>
          <w:szCs w:val="32"/>
        </w:rPr>
        <w:t>与壮美广西·政务云设备性能相当或性能高于壮美广西·政务云设备，若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在</w:t>
      </w:r>
      <w:r>
        <w:rPr>
          <w:rFonts w:hint="eastAsia" w:eastAsia="方正仿宋_GBK" w:cs="宋体"/>
          <w:snapToGrid w:val="0"/>
          <w:color w:val="000000"/>
          <w:szCs w:val="32"/>
        </w:rPr>
        <w:t>壮美广西·政务云兼容性列表的，直接纳入壮美广西·政务云管理，扩容至新的计算资源池；若不在壮美广西·政务云兼容性列表的，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经</w:t>
      </w:r>
      <w:r>
        <w:rPr>
          <w:rFonts w:hint="eastAsia" w:eastAsia="方正仿宋_GBK" w:cs="宋体"/>
          <w:snapToGrid w:val="0"/>
          <w:color w:val="000000"/>
          <w:szCs w:val="32"/>
        </w:rPr>
        <w:t>兼容测试后再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视</w:t>
      </w:r>
      <w:r>
        <w:rPr>
          <w:rFonts w:hint="eastAsia" w:eastAsia="方正仿宋_GBK" w:cs="宋体"/>
          <w:snapToGrid w:val="0"/>
          <w:color w:val="000000"/>
          <w:szCs w:val="32"/>
        </w:rPr>
        <w:t>情况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进行</w:t>
      </w:r>
      <w:r>
        <w:rPr>
          <w:rFonts w:hint="eastAsia" w:eastAsia="方正仿宋_GBK" w:cs="宋体"/>
          <w:snapToGrid w:val="0"/>
          <w:color w:val="000000"/>
          <w:szCs w:val="32"/>
        </w:rPr>
        <w:t>统筹利用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</w:pP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对生产日期在2018年之后、使用年限在2年内、维保期剩余超过1年以上的存储设备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直接扩容至壮美广西·政务云存储资源池。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（二）对不符合生产日期在2018年之后、使用年限在2年内、维保期剩余超过1年以上条件但仍在维保期内的物理服务器或存储资源，可作为电子政务外网、壮美广西·政务云扩容和使用。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（三）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非涉密数据中心资源</w:t>
      </w:r>
      <w:r>
        <w:rPr>
          <w:rFonts w:hint="eastAsia" w:eastAsia="方正仿宋_GBK" w:cs="宋体"/>
          <w:snapToGrid w:val="0"/>
          <w:color w:val="000000"/>
          <w:szCs w:val="32"/>
        </w:rPr>
        <w:t>维保到期前，经评估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eastAsia="方正仿宋_GBK" w:cs="宋体"/>
          <w:snapToGrid w:val="0"/>
          <w:color w:val="000000"/>
          <w:szCs w:val="32"/>
        </w:rPr>
        <w:t>的使用价值后，再综合考虑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eastAsia="方正仿宋_GBK" w:cs="宋体"/>
          <w:snapToGrid w:val="0"/>
          <w:color w:val="000000"/>
          <w:szCs w:val="32"/>
        </w:rPr>
        <w:t>资产续保工作。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五、对纳入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非涉密数据中心资源</w:t>
      </w:r>
      <w:r>
        <w:rPr>
          <w:rFonts w:hint="eastAsia" w:eastAsia="方正仿宋_GBK" w:cs="宋体"/>
          <w:snapToGrid w:val="0"/>
          <w:color w:val="000000"/>
          <w:szCs w:val="32"/>
        </w:rPr>
        <w:t>统筹利用范围的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，非涉密数据中心</w:t>
      </w:r>
      <w:r>
        <w:rPr>
          <w:rFonts w:hint="eastAsia" w:eastAsia="方正仿宋_GBK" w:cs="宋体"/>
          <w:snapToGrid w:val="0"/>
          <w:color w:val="000000"/>
          <w:szCs w:val="32"/>
        </w:rPr>
        <w:t>可利用资源清单分为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非涉密数据中心</w:t>
      </w:r>
      <w:r>
        <w:rPr>
          <w:rFonts w:hint="eastAsia" w:eastAsia="方正仿宋_GBK" w:cs="宋体"/>
          <w:snapToGrid w:val="0"/>
          <w:color w:val="000000"/>
          <w:szCs w:val="32"/>
        </w:rPr>
        <w:t>可托管资源清单、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非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涉密数据中心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可移交资源清单：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</w:pP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（一）对认定为托管的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资产，由资产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管理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部门负责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的搬迁部署，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纳入壮美广西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val="en-US" w:eastAsia="zh-CN"/>
        </w:rPr>
        <w:t>·政务云统筹分配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使用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安全管理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责任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遵循“谁使用、谁负责”的原则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。资产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所有权归属于资产管理部门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，资源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处于维保期内的仍由资产管理部门负责维保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，资源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达到报废期限后，由资产管理部门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按照《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广西壮族自治区行政事业单位国有资产管理办法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》（政府令第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val="en-US" w:eastAsia="zh-CN"/>
        </w:rPr>
        <w:t>68号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）等相关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规定作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资产处置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</w:pP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val="en-US" w:eastAsia="zh-CN"/>
        </w:rPr>
        <w:t>（二）对认定为移交的资源资产，由资产管理部门、各级大数据主管部门、政务外网管理单位按照《广西壮族自治区行政事业单位国有资产管理办法》（政府令第68号）等相关规定作资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产处置，并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及时办理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  <w:lang w:eastAsia="zh-CN"/>
        </w:rPr>
        <w:t>资源</w:t>
      </w:r>
      <w:r>
        <w:rPr>
          <w:rFonts w:hint="eastAsia" w:ascii="Times New Roman" w:hAnsi="Times New Roman" w:eastAsia="方正仿宋_GBK" w:cs="宋体"/>
          <w:snapToGrid w:val="0"/>
          <w:color w:val="000000"/>
          <w:szCs w:val="32"/>
        </w:rPr>
        <w:t>资产转移手续。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（三）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以自愿为</w:t>
      </w:r>
      <w:r>
        <w:rPr>
          <w:rFonts w:hint="eastAsia" w:eastAsia="方正仿宋_GBK" w:cs="宋体"/>
          <w:snapToGrid w:val="0"/>
          <w:color w:val="000000"/>
          <w:szCs w:val="32"/>
        </w:rPr>
        <w:t>原则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，由</w:t>
      </w:r>
      <w:r>
        <w:rPr>
          <w:rFonts w:hint="eastAsia" w:eastAsia="方正仿宋_GBK" w:cs="宋体"/>
          <w:snapToGrid w:val="0"/>
          <w:color w:val="000000"/>
          <w:szCs w:val="32"/>
        </w:rPr>
        <w:t>资产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管理</w:t>
      </w:r>
      <w:r>
        <w:rPr>
          <w:rFonts w:hint="eastAsia" w:eastAsia="方正仿宋_GBK" w:cs="宋体"/>
          <w:snapToGrid w:val="0"/>
          <w:color w:val="000000"/>
          <w:szCs w:val="32"/>
        </w:rPr>
        <w:t>部门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确认非涉密数据中心可利用的资源资产是否实施</w:t>
      </w:r>
      <w:r>
        <w:rPr>
          <w:rFonts w:hint="eastAsia" w:eastAsia="方正仿宋_GBK" w:cs="宋体"/>
          <w:snapToGrid w:val="0"/>
          <w:color w:val="000000"/>
          <w:szCs w:val="32"/>
        </w:rPr>
        <w:t>托管或移交</w:t>
      </w:r>
      <w:r>
        <w:rPr>
          <w:rFonts w:hint="eastAsia" w:eastAsia="方正仿宋_GBK" w:cs="宋体"/>
          <w:snapToGrid w:val="0"/>
          <w:color w:val="00000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eastAsia="方正仿宋_GBK"/>
          <w:color w:val="00000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640" w:firstLineChars="200"/>
        <w:textAlignment w:val="auto"/>
        <w:rPr>
          <w:rFonts w:hint="eastAsia" w:eastAsia="方正仿宋_GBK" w:cs="宋体"/>
          <w:snapToGrid w:val="0"/>
          <w:color w:val="000000"/>
          <w:szCs w:val="32"/>
        </w:rPr>
      </w:pPr>
      <w:r>
        <w:rPr>
          <w:rFonts w:hint="eastAsia" w:eastAsia="方正仿宋_GBK" w:cs="宋体"/>
          <w:snapToGrid w:val="0"/>
          <w:color w:val="000000"/>
          <w:szCs w:val="32"/>
        </w:rPr>
        <w:t>附表：非涉密数据中心资源统筹利用标准表</w:t>
      </w:r>
    </w:p>
    <w:p>
      <w:pPr>
        <w:adjustRightInd w:val="0"/>
        <w:snapToGrid w:val="0"/>
        <w:rPr>
          <w:rFonts w:hint="eastAsia" w:ascii="方正黑体_GBK" w:eastAsia="方正黑体_GBK"/>
          <w:snapToGrid w:val="0"/>
          <w:color w:val="000000"/>
          <w:szCs w:val="32"/>
        </w:rPr>
      </w:pPr>
      <w:r>
        <w:rPr>
          <w:rFonts w:hint="eastAsia" w:ascii="方正黑体_GBK" w:eastAsia="方正黑体_GBK"/>
          <w:snapToGrid w:val="0"/>
          <w:color w:val="000000"/>
          <w:szCs w:val="32"/>
        </w:rPr>
        <w:t>附表</w:t>
      </w:r>
    </w:p>
    <w:p>
      <w:pPr>
        <w:adjustRightInd w:val="0"/>
        <w:snapToGrid w:val="0"/>
        <w:ind w:firstLine="640" w:firstLineChars="200"/>
        <w:rPr>
          <w:rFonts w:hint="eastAsia" w:eastAsia="方正仿宋_GBK"/>
          <w:snapToGrid w:val="0"/>
          <w:color w:val="000000"/>
          <w:szCs w:val="32"/>
        </w:rPr>
      </w:pPr>
      <w:r>
        <w:rPr>
          <w:rFonts w:hint="eastAsia" w:eastAsia="方正仿宋_GBK"/>
          <w:snapToGrid w:val="0"/>
          <w:color w:val="000000"/>
          <w:szCs w:val="32"/>
        </w:rPr>
        <w:t xml:space="preserve"> </w:t>
      </w:r>
    </w:p>
    <w:p>
      <w:pPr>
        <w:adjustRightInd w:val="0"/>
        <w:snapToGrid w:val="0"/>
        <w:jc w:val="center"/>
        <w:rPr>
          <w:rFonts w:hint="eastAsia" w:ascii="方正小标宋_GBK" w:eastAsia="方正小标宋_GBK"/>
          <w:snapToGrid w:val="0"/>
          <w:color w:val="00000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000000"/>
          <w:sz w:val="44"/>
          <w:szCs w:val="44"/>
        </w:rPr>
        <w:t>非涉密数据中心资源统筹利用标准表</w:t>
      </w:r>
    </w:p>
    <w:p>
      <w:pPr>
        <w:pStyle w:val="2"/>
        <w:adjustRightInd w:val="0"/>
        <w:snapToGrid w:val="0"/>
        <w:spacing w:after="0"/>
        <w:ind w:firstLine="640" w:firstLineChars="200"/>
        <w:rPr>
          <w:rFonts w:hint="eastAsia" w:eastAsia="方正仿宋_GBK"/>
          <w:snapToGrid w:val="0"/>
          <w:color w:val="000000"/>
          <w:szCs w:val="32"/>
        </w:rPr>
      </w:pPr>
      <w:r>
        <w:rPr>
          <w:rFonts w:hint="eastAsia" w:eastAsia="方正仿宋_GBK"/>
          <w:snapToGrid w:val="0"/>
          <w:color w:val="000000"/>
          <w:szCs w:val="32"/>
        </w:rPr>
        <w:t xml:space="preserve"> </w:t>
      </w:r>
    </w:p>
    <w:tbl>
      <w:tblPr>
        <w:tblStyle w:val="7"/>
        <w:tblW w:w="13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20"/>
        <w:gridCol w:w="943"/>
        <w:gridCol w:w="2705"/>
        <w:gridCol w:w="839"/>
        <w:gridCol w:w="826"/>
        <w:gridCol w:w="834"/>
        <w:gridCol w:w="5430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tblHeader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设备类型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设备品牌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采购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生产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是否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在保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参数要求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color w:val="000000"/>
                <w:sz w:val="21"/>
                <w:szCs w:val="21"/>
              </w:rPr>
              <w:t>符合条件设备数量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服务器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包括但不限于：联想、华为、华三、浪潮、中兴、宝德、曙光、惠普、戴尔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2017年1月后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2颗cpu以上，每颗至少16核，主频2.0HZ以上，CPU必须支持和开启硬件辅助虚拟化技术；DDR4内存，存容量256GB以上；硬盘容量至少600GB；至少配备两个FC口，至少两个万兆光口，至少四个电口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存储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包括但不限于：惠普、联想、IBM、戴尔、EMC、NetApp、华三、宏衫、华为、日立、曙光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2017年1月后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支持虚拟化部署，存储容量50T以上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交换机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包括但不限于华为、华三、锐捷、神州数码、中兴、迈普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2017年1月后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框式：双引擎，双电源，支持横向N:1虚拟化技术：可将两台物理设备虚拟化为一台逻辑设备，虚拟组内可以实现一致的转发表项，统一的管理，跨物理设备的链路聚合，支持IPv6，支持L3 MPLS VPN和MPLS VPN组播，要求实际配置具备MPLS VPN功能的硬件板卡或功能license；万兆端口16个以上，千兆端口48以上。</w:t>
            </w: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盒式：双电源，万兆端口4个以上，千兆端口24以上；支持SNMP v1/v2/v3、RMON、SSHv2；支持OAM（802.1AG，802.3AH）以太网运行、维护和管理标准，支持MCE，路由协议支持RIPv1/v2，RIPng,OSPFv1/v2，OSPFv3,BGP4，BGP4+ for IPv6，支持策略路由和等价路由，支持IPv6协议；支持MPLS、L2VPN、L3VPN、VPLS和MCE功能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路由器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包括但不限于华为、华三、锐捷、神州数码、中兴、迈普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2017年1月后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 xml:space="preserve">框式：具备双主控、双电源、48个万兆以太网光接口、支持IPv6、BGP、支持分布式L3 MPLS VPN和MPLS VPN组播、硬件支持NAT功能，要求实际配置具备NAT 功能的硬件板卡 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安全设备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包括但不限于：深信服、天融信、迪普、奇安信、科博、山石、启明星辰、网御星云、安恒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2017年1月后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6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光模块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包括但不限于：华为、华三、锐捷、中兴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万兆单模、万兆多模、千兆单模、千兆多模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7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UPS不间断电源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包括但不限于：施耐德、APC、艾默生（维谛技术）、伊顿、华为、科华、易事特等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2019年1月后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在线式UPS，UPS容量在20-500KVA之间，输入电压220V（相电压）380V（线电压），电压范围（-45％～+15％），宽频范围（50Hz±10%），输出功率因素≥0.9。提供RS232、RS485或智能SNMP监测接口，无重大维修记录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8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精密空调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包括但不限于：艾默生、史图斯、佳力图、海洛斯、约顿、依米康、阿尔西、施耐德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2019年1月后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恒温恒湿，制冷量在12.5KW-50KW之间，提供远程监控接口，无重大维修记录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9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机柜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包括但不限于华为、金盾、图腾等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2018年1月后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具备两路PDU，42U机柜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蓄电池</w:t>
            </w:r>
          </w:p>
        </w:tc>
        <w:tc>
          <w:tcPr>
            <w:tcW w:w="2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包括但不限于汤浅、阳光、松下、双登、光宇、南都、锂士等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2020年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2020年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5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  <w:t>同批次同型号，附带连接电缆及电池柜（架）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方正书宋_GBK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BF9908"/>
    <w:rsid w:val="68CCD3FB"/>
    <w:rsid w:val="F9BF9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Office_3.4.0.5283_F1E327BC-269C-435d-A152-05C5408002CA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2021-07-06T15:16:00Z</dcterms:created>
  <dc:creator>yincongcong</dc:creator>
  <cp:lastModifiedBy>yincongcong</cp:lastModifiedBy>
  <dcterms:modified xsi:type="dcterms:W3CDTF">2021-07-06T15:17:40Z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2052-3.4.0.5283</vt:lpwstr>
  </property>
</Properties>
</file>