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21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21"/>
          <w:sz w:val="44"/>
          <w:szCs w:val="44"/>
          <w:u w:val="none"/>
          <w:lang w:val="en-US" w:eastAsia="zh-CN"/>
        </w:rPr>
        <w:t>广西健康码反向扫码操作流程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一、公众用户申领健康码凭证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进入广西健康码的【家人健康码】列表→选择【健康码凭证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6"/>
          <w:kern w:val="21"/>
          <w:sz w:val="32"/>
          <w:szCs w:val="32"/>
          <w:u w:val="none"/>
          <w:lang w:val="en-US" w:eastAsia="zh-CN"/>
        </w:rPr>
        <w:t>申领】→填写家属身份信息→人脸核验→为家属申领健康码凭证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→保存至本地相册→打印→携带出行。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drawing>
          <wp:inline distT="0" distB="0" distL="114300" distR="114300">
            <wp:extent cx="4819650" cy="53721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二、各类场所出入口管理人员核验健康码凭证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进入出入记录中的【核验健康码】按钮→唤起扫码摄像头→扫码识别群众展示的广西健康码凭证→核验是否符合通行条件。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drawing>
          <wp:inline distT="0" distB="0" distL="114300" distR="114300">
            <wp:extent cx="5623560" cy="5048250"/>
            <wp:effectExtent l="0" t="0" r="152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注：</w:t>
      </w:r>
      <w:r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各类场所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出入口管理人</w:t>
      </w:r>
      <w:r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员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核验时需核对健康码凭证上的信息与扫码识别结果是否符合，健康码凭证上的头像与其本人是否一致，必要时核验其身份证件。由</w:t>
      </w:r>
      <w:r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各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场所主管理员分配反向扫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11"/>
          <w:kern w:val="21"/>
          <w:sz w:val="32"/>
          <w:szCs w:val="32"/>
          <w:u w:val="none"/>
          <w:lang w:val="en-US" w:eastAsia="zh-CN"/>
        </w:rPr>
        <w:t>码权限给</w:t>
      </w:r>
      <w:r>
        <w:rPr>
          <w:rFonts w:hint="default" w:ascii="Times New Roman" w:hAnsi="Times New Roman" w:eastAsia="方正仿宋_GBK" w:cs="方正仿宋_GBK"/>
          <w:snapToGrid w:val="0"/>
          <w:color w:val="000000"/>
          <w:spacing w:val="11"/>
          <w:kern w:val="21"/>
          <w:sz w:val="32"/>
          <w:szCs w:val="32"/>
          <w:u w:val="none"/>
          <w:lang w:val="en-US" w:eastAsia="zh-CN"/>
        </w:rPr>
        <w:t>场所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11"/>
          <w:kern w:val="21"/>
          <w:sz w:val="32"/>
          <w:szCs w:val="32"/>
          <w:u w:val="none"/>
          <w:lang w:val="en-US" w:eastAsia="zh-CN"/>
        </w:rPr>
        <w:t>出入口管理人</w:t>
      </w:r>
      <w:r>
        <w:rPr>
          <w:rFonts w:hint="default" w:ascii="Times New Roman" w:hAnsi="Times New Roman" w:eastAsia="方正仿宋_GBK" w:cs="方正仿宋_GBK"/>
          <w:snapToGrid w:val="0"/>
          <w:color w:val="000000"/>
          <w:spacing w:val="11"/>
          <w:kern w:val="21"/>
          <w:sz w:val="32"/>
          <w:szCs w:val="32"/>
          <w:u w:val="none"/>
          <w:lang w:val="en-US" w:eastAsia="zh-CN"/>
        </w:rPr>
        <w:t>员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11"/>
          <w:kern w:val="21"/>
          <w:sz w:val="32"/>
          <w:szCs w:val="32"/>
          <w:u w:val="none"/>
          <w:lang w:val="en-US" w:eastAsia="zh-CN"/>
        </w:rPr>
        <w:t>（如地铁一线工作人员、小区保安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三、场所主管理员分配【反向扫码】权限操作流程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各场所主管理员可以通过场所管理页面中的【添加分管员】为场所添加分管理员，点击后输入分管员的手机号码以及发送至分管员手机号上的验证码，验证后即完成分管员的添加。分管员可使用场所管理相关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5722620" cy="4972050"/>
            <wp:effectExtent l="0" t="0" r="1143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四、闸机核验健康码凭证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群众向闸机二维码读识区出示广西健康码凭证→闸机自动识别后在显示屏上展示结果→根据结果核验是否通过。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after="320" w:afterLines="100"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3038475" cy="5448300"/>
            <wp:effectExtent l="0" t="0" r="952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21"/>
          <w:sz w:val="32"/>
          <w:szCs w:val="32"/>
          <w:u w:val="none"/>
          <w:lang w:val="en-US" w:eastAsia="zh-CN"/>
        </w:rPr>
        <w:t>注：已接入广西健康码系统的闸机生产厂家，需升级改造适配识别健康码凭证二维码。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425B"/>
    <w:rsid w:val="2D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2022-05-26T12:21:00Z</dcterms:created>
  <dc:creator>莹子．</dc:creator>
  <cp:lastModifiedBy>莹子．</cp:lastModifiedBy>
  <dcterms:modified xsi:type="dcterms:W3CDTF">2022-05-26T12:22:36Z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