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auto"/>
        <w:spacing w:before="0" w:beforeAutospacing="0" w:after="0" w:afterAutospacing="0" w:line="600" w:lineRule="exact"/>
        <w:jc w:val="both"/>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附件2</w:t>
      </w:r>
    </w:p>
    <w:p>
      <w:pPr>
        <w:pStyle w:val="5"/>
        <w:widowControl/>
        <w:shd w:val="clear" w:color="auto" w:fill="auto"/>
        <w:spacing w:before="0" w:beforeAutospacing="0" w:after="0" w:afterAutospacing="0" w:line="600" w:lineRule="exact"/>
        <w:jc w:val="center"/>
        <w:rPr>
          <w:rFonts w:ascii="Times New Roman" w:hAnsi="Times New Roman" w:eastAsia="方正小标宋_GBK"/>
          <w:sz w:val="44"/>
          <w:szCs w:val="44"/>
          <w:shd w:val="clear" w:color="auto" w:fill="FFFFFF"/>
        </w:rPr>
      </w:pPr>
    </w:p>
    <w:p>
      <w:pPr>
        <w:pStyle w:val="5"/>
        <w:widowControl/>
        <w:shd w:val="clear" w:color="auto" w:fill="auto"/>
        <w:spacing w:before="0" w:beforeAutospacing="0" w:after="0" w:afterAutospacing="0" w:line="600" w:lineRule="exact"/>
        <w:jc w:val="center"/>
        <w:outlineLvl w:val="0"/>
        <w:rPr>
          <w:rFonts w:ascii="Times New Roman" w:hAnsi="Times New Roman" w:eastAsia="方正小标宋_GBK"/>
          <w:spacing w:val="-6"/>
          <w:sz w:val="44"/>
          <w:szCs w:val="44"/>
          <w:shd w:val="clear" w:color="auto" w:fill="FFFFFF"/>
        </w:rPr>
      </w:pPr>
      <w:r>
        <w:rPr>
          <w:rFonts w:ascii="Times New Roman" w:hAnsi="Times New Roman" w:eastAsia="方正小标宋_GBK"/>
          <w:spacing w:val="-6"/>
          <w:sz w:val="44"/>
          <w:szCs w:val="44"/>
          <w:shd w:val="clear" w:color="auto" w:fill="FFFFFF"/>
        </w:rPr>
        <w:t>广西壮族自治区危险废物鉴别异议评估规程</w:t>
      </w:r>
    </w:p>
    <w:p>
      <w:pPr>
        <w:pStyle w:val="5"/>
        <w:widowControl/>
        <w:shd w:val="clear" w:color="auto" w:fill="auto"/>
        <w:spacing w:before="0" w:beforeAutospacing="0" w:after="0" w:afterAutospacing="0" w:line="600" w:lineRule="exact"/>
        <w:ind w:firstLine="640" w:firstLineChars="200"/>
        <w:rPr>
          <w:rFonts w:ascii="Times New Roman" w:hAnsi="Times New Roman" w:eastAsia="仿宋"/>
          <w:sz w:val="32"/>
          <w:szCs w:val="32"/>
          <w:shd w:val="clear" w:color="auto" w:fill="FFFFFF"/>
        </w:rPr>
      </w:pP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shd w:val="clear" w:color="auto" w:fill="FFFFFF"/>
        </w:rPr>
        <w:t>一、适用范围</w:t>
      </w:r>
      <w:bookmarkStart w:id="0" w:name="_GoBack"/>
      <w:bookmarkEnd w:id="0"/>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shd w:val="clear" w:color="auto" w:fill="FFFFFF"/>
        </w:rPr>
        <w:t>本规程适用于广西辖区内</w:t>
      </w:r>
      <w:r>
        <w:rPr>
          <w:rFonts w:hint="eastAsia" w:ascii="Times New Roman" w:hAnsi="Times New Roman" w:eastAsia="仿宋"/>
          <w:sz w:val="32"/>
          <w:szCs w:val="32"/>
          <w:shd w:val="clear" w:color="auto" w:fill="FFFFFF"/>
        </w:rPr>
        <w:t>鉴别委托方的</w:t>
      </w:r>
      <w:r>
        <w:rPr>
          <w:rFonts w:ascii="Times New Roman" w:hAnsi="Times New Roman" w:eastAsia="仿宋"/>
          <w:sz w:val="32"/>
          <w:szCs w:val="32"/>
          <w:shd w:val="clear" w:color="auto" w:fill="FFFFFF"/>
        </w:rPr>
        <w:t>危险废物鉴别报告</w:t>
      </w:r>
      <w:r>
        <w:rPr>
          <w:rFonts w:hint="eastAsia" w:ascii="Times New Roman" w:hAnsi="Times New Roman" w:eastAsia="仿宋"/>
          <w:sz w:val="32"/>
          <w:szCs w:val="32"/>
          <w:shd w:val="clear" w:color="auto" w:fill="FFFFFF"/>
        </w:rPr>
        <w:t>的</w:t>
      </w:r>
      <w:r>
        <w:rPr>
          <w:rFonts w:ascii="Times New Roman" w:hAnsi="Times New Roman" w:eastAsia="仿宋"/>
          <w:sz w:val="32"/>
          <w:szCs w:val="32"/>
          <w:shd w:val="clear" w:color="auto" w:fill="FFFFFF"/>
        </w:rPr>
        <w:t>异议评估工作。</w:t>
      </w: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二、评估程序</w:t>
      </w:r>
    </w:p>
    <w:p>
      <w:pPr>
        <w:pStyle w:val="5"/>
        <w:widowControl/>
        <w:shd w:val="clear" w:color="auto" w:fill="auto"/>
        <w:spacing w:before="0" w:beforeAutospacing="0" w:after="0" w:afterAutospacing="0" w:line="600" w:lineRule="exact"/>
        <w:ind w:firstLine="640" w:firstLineChars="200"/>
        <w:jc w:val="both"/>
        <w:rPr>
          <w:rFonts w:hint="eastAsia" w:ascii="Times New Roman" w:hAnsi="Times New Roman" w:eastAsia="仿宋"/>
          <w:sz w:val="32"/>
          <w:szCs w:val="32"/>
          <w:shd w:val="clear" w:color="auto" w:fill="FFFFFF"/>
        </w:rPr>
      </w:pPr>
      <w:r>
        <w:rPr>
          <w:rFonts w:ascii="Times New Roman" w:hAnsi="Times New Roman" w:eastAsia="仿宋"/>
          <w:sz w:val="32"/>
          <w:szCs w:val="32"/>
          <w:shd w:val="clear" w:color="auto" w:fill="FFFFFF"/>
        </w:rPr>
        <w:t>危险废物鉴别异议评估程序依次包括形式审查、技术评估和报告复核。</w:t>
      </w:r>
      <w:r>
        <w:rPr>
          <w:rFonts w:hint="eastAsia" w:ascii="Times New Roman" w:hAnsi="Times New Roman" w:eastAsia="仿宋"/>
          <w:sz w:val="32"/>
          <w:szCs w:val="32"/>
          <w:shd w:val="clear" w:color="auto" w:fill="FFFFFF"/>
        </w:rPr>
        <w:t>流程图见附图。</w:t>
      </w: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三、异议评估申请</w:t>
      </w:r>
    </w:p>
    <w:p>
      <w:pPr>
        <w:pStyle w:val="5"/>
        <w:widowControl/>
        <w:shd w:val="clear" w:color="auto" w:fill="auto"/>
        <w:spacing w:before="0" w:beforeAutospacing="0" w:after="0" w:afterAutospacing="0" w:line="600" w:lineRule="exact"/>
        <w:ind w:firstLine="640" w:firstLineChars="200"/>
        <w:jc w:val="both"/>
        <w:rPr>
          <w:rFonts w:hint="eastAsia" w:ascii="Times New Roman" w:hAnsi="Times New Roman" w:eastAsia="仿宋"/>
          <w:sz w:val="32"/>
          <w:szCs w:val="32"/>
          <w:shd w:val="clear" w:color="auto" w:fill="FFFFFF"/>
        </w:rPr>
      </w:pPr>
      <w:r>
        <w:rPr>
          <w:rFonts w:ascii="Times New Roman" w:hAnsi="Times New Roman" w:eastAsia="仿宋"/>
          <w:sz w:val="32"/>
          <w:szCs w:val="32"/>
          <w:shd w:val="clear" w:color="auto" w:fill="FFFFFF"/>
        </w:rPr>
        <w:t>对</w:t>
      </w:r>
      <w:r>
        <w:rPr>
          <w:rFonts w:hint="eastAsia" w:ascii="Times New Roman" w:hAnsi="Times New Roman" w:eastAsia="仿宋"/>
          <w:sz w:val="32"/>
          <w:szCs w:val="32"/>
          <w:shd w:val="clear" w:color="auto" w:fill="FFFFFF"/>
        </w:rPr>
        <w:t>全国危险废物鉴别信息公共服务平台</w:t>
      </w:r>
      <w:r>
        <w:rPr>
          <w:rFonts w:ascii="Times New Roman" w:hAnsi="Times New Roman" w:eastAsia="仿宋"/>
          <w:sz w:val="32"/>
          <w:szCs w:val="32"/>
          <w:shd w:val="clear" w:color="auto" w:fill="FFFFFF"/>
        </w:rPr>
        <w:t>公开的危险废物鉴别报告存在异议的，任何单位和个人可按程序</w:t>
      </w:r>
      <w:r>
        <w:rPr>
          <w:rFonts w:hint="eastAsia" w:ascii="Times New Roman" w:hAnsi="Times New Roman" w:eastAsia="仿宋"/>
          <w:sz w:val="32"/>
          <w:szCs w:val="32"/>
          <w:shd w:val="clear" w:color="auto" w:fill="FFFFFF"/>
        </w:rPr>
        <w:t>，通过全国危险废物鉴别信息公共服务平台（危险废物鉴别报告公开—报告详情—异议评估申请），</w:t>
      </w:r>
      <w:r>
        <w:rPr>
          <w:rFonts w:ascii="Times New Roman" w:hAnsi="Times New Roman" w:eastAsia="仿宋"/>
          <w:sz w:val="32"/>
          <w:szCs w:val="32"/>
          <w:shd w:val="clear" w:color="auto" w:fill="FFFFFF"/>
        </w:rPr>
        <w:t>向广西壮族自治区危险废物鉴别专家委员会（以下简称专家委员会）提出异议评估申请，并</w:t>
      </w:r>
      <w:r>
        <w:rPr>
          <w:rFonts w:hint="eastAsia" w:ascii="Times New Roman" w:hAnsi="Times New Roman" w:eastAsia="仿宋"/>
          <w:sz w:val="32"/>
          <w:szCs w:val="32"/>
          <w:shd w:val="clear" w:color="auto" w:fill="FFFFFF"/>
        </w:rPr>
        <w:t>根据要求</w:t>
      </w:r>
      <w:r>
        <w:rPr>
          <w:rFonts w:ascii="Times New Roman" w:hAnsi="Times New Roman" w:eastAsia="仿宋"/>
          <w:sz w:val="32"/>
          <w:szCs w:val="32"/>
          <w:shd w:val="clear" w:color="auto" w:fill="FFFFFF"/>
        </w:rPr>
        <w:t>提供理由和有关证明材料。</w:t>
      </w: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四、形式审查</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专家委员会收到针对我区鉴别报告的异议评估申请后，首先由</w:t>
      </w:r>
      <w:r>
        <w:rPr>
          <w:rFonts w:ascii="Times New Roman" w:hAnsi="Times New Roman" w:eastAsia="仿宋"/>
          <w:color w:val="000000"/>
          <w:sz w:val="32"/>
          <w:szCs w:val="32"/>
          <w:shd w:val="clear" w:color="auto" w:fill="FFFFFF"/>
        </w:rPr>
        <w:t>专家委员会秘书处组</w:t>
      </w:r>
      <w:r>
        <w:rPr>
          <w:rFonts w:ascii="Times New Roman" w:hAnsi="Times New Roman" w:eastAsia="仿宋"/>
          <w:sz w:val="32"/>
          <w:szCs w:val="32"/>
          <w:shd w:val="clear" w:color="auto" w:fill="FFFFFF"/>
        </w:rPr>
        <w:t>织开展形式审查，判断是否属于专家委员会异议评估工作范围。不属于异议评估工作范围的，将审查意见反馈异议提出方；属于异议评估工作范围的，依照本评估程序开展技术评估。以下情形不属于专家委员会异议评估工作范围：</w:t>
      </w:r>
    </w:p>
    <w:p>
      <w:pPr>
        <w:pStyle w:val="5"/>
        <w:widowControl/>
        <w:shd w:val="clear" w:color="auto" w:fill="auto"/>
        <w:spacing w:before="0" w:beforeAutospacing="0" w:after="0" w:afterAutospacing="0" w:line="600" w:lineRule="exact"/>
        <w:ind w:firstLine="640" w:firstLineChars="200"/>
        <w:jc w:val="both"/>
        <w:outlineLvl w:val="1"/>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（一）与鉴别报告结论准确性无关的异议；</w:t>
      </w:r>
    </w:p>
    <w:p>
      <w:pPr>
        <w:pStyle w:val="5"/>
        <w:widowControl/>
        <w:shd w:val="clear" w:color="auto" w:fill="auto"/>
        <w:spacing w:before="0" w:beforeAutospacing="0" w:after="0" w:afterAutospacing="0" w:line="600" w:lineRule="exact"/>
        <w:ind w:firstLine="640" w:firstLineChars="200"/>
        <w:jc w:val="both"/>
        <w:outlineLvl w:val="1"/>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（二）异议申请理由不充分、支撑材料不完整；</w:t>
      </w:r>
    </w:p>
    <w:p>
      <w:pPr>
        <w:pStyle w:val="5"/>
        <w:widowControl/>
        <w:shd w:val="clear" w:color="auto" w:fill="auto"/>
        <w:spacing w:before="0" w:beforeAutospacing="0" w:after="0" w:afterAutospacing="0" w:line="600" w:lineRule="exact"/>
        <w:ind w:firstLine="640" w:firstLineChars="200"/>
        <w:jc w:val="both"/>
        <w:outlineLvl w:val="1"/>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（三）针对已出具自治区级评估意见的鉴别报告的异议；</w:t>
      </w:r>
    </w:p>
    <w:p>
      <w:pPr>
        <w:pStyle w:val="5"/>
        <w:widowControl/>
        <w:shd w:val="clear" w:color="auto" w:fill="auto"/>
        <w:spacing w:before="0" w:beforeAutospacing="0" w:after="0" w:afterAutospacing="0" w:line="600" w:lineRule="exact"/>
        <w:ind w:firstLine="640" w:firstLineChars="200"/>
        <w:jc w:val="both"/>
        <w:outlineLvl w:val="1"/>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（四）其他不属于专家委员会异议评估工作范围的异议。</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形式审查应在专家委员会收到异议评估申请后的10个工作日内完成（鉴别报告公开后10个工作日内收到的异议评估申请均从第10个工作日起计）。</w:t>
      </w: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五、技术评估</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技术评估是对异议的鉴别报告和鉴别结论有效性的全面评估，评估</w:t>
      </w:r>
      <w:r>
        <w:rPr>
          <w:rFonts w:ascii="Times New Roman" w:hAnsi="Times New Roman" w:eastAsia="仿宋"/>
          <w:sz w:val="32"/>
          <w:szCs w:val="32"/>
          <w:shd w:val="clear" w:color="auto" w:fill="FFFFFF"/>
        </w:rPr>
        <w:t>内容</w:t>
      </w:r>
      <w:r>
        <w:rPr>
          <w:rFonts w:ascii="Times New Roman" w:hAnsi="Times New Roman" w:eastAsia="仿宋"/>
          <w:sz w:val="32"/>
          <w:szCs w:val="32"/>
        </w:rPr>
        <w:t>包括但不限于异议评估申请范围。</w:t>
      </w:r>
      <w:r>
        <w:rPr>
          <w:rFonts w:ascii="Times New Roman" w:hAnsi="Times New Roman" w:eastAsia="仿宋"/>
          <w:sz w:val="32"/>
          <w:szCs w:val="32"/>
          <w:shd w:val="clear" w:color="auto" w:fill="FFFFFF"/>
        </w:rPr>
        <w:t>技术评估分为初步评估和专家委员会审议会（以下简称审议会）评估两个阶段。根据异议内容，鉴别对象错误、鉴别采样不规范等不需要初步评估的，可直接开展审议会评估。需要初步评估的，由专家委员会确定初步评估方式。</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shd w:val="clear" w:color="auto" w:fill="FFFFFF"/>
        </w:rPr>
        <w:t>（一）初步评估。包括专家会议评估和补充调查（检测）评估。</w:t>
      </w:r>
      <w:r>
        <w:rPr>
          <w:rFonts w:ascii="Times New Roman" w:hAnsi="Times New Roman" w:eastAsia="仿宋"/>
          <w:sz w:val="32"/>
          <w:szCs w:val="32"/>
        </w:rPr>
        <w:t>初步评估意见由专家会议评估意见和补充调查（检测）评估意见组成，需提交审议会评估。</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shd w:val="clear" w:color="auto" w:fill="FFFFFF"/>
        </w:rPr>
        <w:t>需要开展专家会议评估的，由</w:t>
      </w:r>
      <w:r>
        <w:rPr>
          <w:rFonts w:ascii="Times New Roman" w:hAnsi="Times New Roman" w:eastAsia="仿宋"/>
          <w:sz w:val="32"/>
          <w:szCs w:val="32"/>
        </w:rPr>
        <w:t>专家委员会根据异议申请和鉴别报告</w:t>
      </w:r>
      <w:r>
        <w:rPr>
          <w:rFonts w:ascii="Times New Roman" w:hAnsi="Times New Roman" w:eastAsia="仿宋"/>
          <w:sz w:val="32"/>
          <w:szCs w:val="32"/>
          <w:shd w:val="clear" w:color="auto" w:fill="FFFFFF"/>
        </w:rPr>
        <w:t>内容</w:t>
      </w:r>
      <w:r>
        <w:rPr>
          <w:rFonts w:ascii="Times New Roman" w:hAnsi="Times New Roman" w:eastAsia="仿宋"/>
          <w:sz w:val="32"/>
          <w:szCs w:val="32"/>
        </w:rPr>
        <w:t>，结合产废企业所属行业和鉴别工作专业需求，选取不少于5名专家（至少有1名专家</w:t>
      </w:r>
      <w:r>
        <w:rPr>
          <w:rFonts w:ascii="Times New Roman" w:hAnsi="Times New Roman" w:eastAsia="仿宋"/>
          <w:sz w:val="32"/>
          <w:szCs w:val="32"/>
          <w:shd w:val="clear" w:color="auto" w:fill="FFFFFF"/>
        </w:rPr>
        <w:t>委员</w:t>
      </w:r>
      <w:r>
        <w:rPr>
          <w:rFonts w:ascii="Times New Roman" w:hAnsi="Times New Roman" w:eastAsia="仿宋"/>
          <w:sz w:val="32"/>
          <w:szCs w:val="32"/>
        </w:rPr>
        <w:t>）组成专家组，组织开展专家会议评估，形成专家会议评估意见。</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rPr>
        <w:t>需要</w:t>
      </w:r>
      <w:r>
        <w:rPr>
          <w:rFonts w:ascii="Times New Roman" w:hAnsi="Times New Roman" w:eastAsia="仿宋"/>
          <w:sz w:val="32"/>
          <w:szCs w:val="32"/>
          <w:shd w:val="clear" w:color="auto" w:fill="FFFFFF"/>
        </w:rPr>
        <w:t>开展补充</w:t>
      </w:r>
      <w:r>
        <w:rPr>
          <w:rFonts w:ascii="Times New Roman" w:hAnsi="Times New Roman" w:eastAsia="仿宋"/>
          <w:sz w:val="32"/>
          <w:szCs w:val="32"/>
        </w:rPr>
        <w:t>调查</w:t>
      </w:r>
      <w:r>
        <w:rPr>
          <w:rFonts w:ascii="Times New Roman" w:hAnsi="Times New Roman" w:eastAsia="仿宋"/>
          <w:sz w:val="32"/>
          <w:szCs w:val="32"/>
          <w:shd w:val="clear" w:color="auto" w:fill="FFFFFF"/>
        </w:rPr>
        <w:t>（检测）评估的，由</w:t>
      </w:r>
      <w:r>
        <w:rPr>
          <w:rFonts w:ascii="Times New Roman" w:hAnsi="Times New Roman" w:eastAsia="仿宋"/>
          <w:sz w:val="32"/>
          <w:szCs w:val="32"/>
        </w:rPr>
        <w:t>专家委员会</w:t>
      </w:r>
      <w:r>
        <w:rPr>
          <w:rFonts w:ascii="Times New Roman" w:hAnsi="Times New Roman" w:eastAsia="仿宋"/>
          <w:sz w:val="32"/>
          <w:szCs w:val="32"/>
          <w:shd w:val="clear" w:color="auto" w:fill="FFFFFF"/>
        </w:rPr>
        <w:t>告知鉴别</w:t>
      </w:r>
      <w:r>
        <w:rPr>
          <w:rFonts w:ascii="Times New Roman" w:hAnsi="Times New Roman" w:eastAsia="仿宋"/>
          <w:sz w:val="32"/>
          <w:szCs w:val="32"/>
        </w:rPr>
        <w:t>委托</w:t>
      </w:r>
      <w:r>
        <w:rPr>
          <w:rFonts w:ascii="Times New Roman" w:hAnsi="Times New Roman" w:eastAsia="仿宋"/>
          <w:sz w:val="32"/>
          <w:szCs w:val="32"/>
          <w:shd w:val="clear" w:color="auto" w:fill="FFFFFF"/>
        </w:rPr>
        <w:t>方开展补充调查（检测）；如确有必要，</w:t>
      </w:r>
      <w:r>
        <w:rPr>
          <w:rFonts w:ascii="Times New Roman" w:hAnsi="Times New Roman" w:eastAsia="仿宋"/>
          <w:sz w:val="32"/>
          <w:szCs w:val="32"/>
        </w:rPr>
        <w:t>专家委员会</w:t>
      </w:r>
      <w:r>
        <w:rPr>
          <w:rFonts w:ascii="Times New Roman" w:hAnsi="Times New Roman" w:eastAsia="仿宋"/>
          <w:sz w:val="32"/>
          <w:szCs w:val="32"/>
          <w:shd w:val="clear" w:color="auto" w:fill="FFFFFF"/>
        </w:rPr>
        <w:t>可以组织开展补充调查（检测）。</w:t>
      </w:r>
      <w:r>
        <w:rPr>
          <w:rFonts w:ascii="Times New Roman" w:hAnsi="Times New Roman" w:eastAsia="仿宋"/>
          <w:sz w:val="32"/>
          <w:szCs w:val="32"/>
        </w:rPr>
        <w:t>根据补充</w:t>
      </w:r>
      <w:r>
        <w:rPr>
          <w:rFonts w:ascii="Times New Roman" w:hAnsi="Times New Roman" w:eastAsia="仿宋"/>
          <w:sz w:val="32"/>
          <w:szCs w:val="32"/>
          <w:shd w:val="clear" w:color="auto" w:fill="FFFFFF"/>
        </w:rPr>
        <w:t>调查</w:t>
      </w:r>
      <w:r>
        <w:rPr>
          <w:rFonts w:ascii="Times New Roman" w:hAnsi="Times New Roman" w:eastAsia="仿宋"/>
          <w:sz w:val="32"/>
          <w:szCs w:val="32"/>
        </w:rPr>
        <w:t>（检测）结果，可视情况组织专家复核，形成补充调查（检测）评估意见。</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shd w:val="clear" w:color="auto" w:fill="FFFFFF"/>
        </w:rPr>
        <w:t>（二）</w:t>
      </w:r>
      <w:r>
        <w:rPr>
          <w:rFonts w:ascii="Times New Roman" w:hAnsi="Times New Roman" w:eastAsia="仿宋"/>
          <w:sz w:val="32"/>
          <w:szCs w:val="32"/>
        </w:rPr>
        <w:t>审议会评估。专家委员会组织审议会对初步评估意见进行评估，审议会由不少于3名专家委员组成，其中至少包括1名主任或副主任委员。审议会对鉴别</w:t>
      </w:r>
      <w:r>
        <w:rPr>
          <w:rFonts w:ascii="Times New Roman" w:hAnsi="Times New Roman" w:eastAsia="仿宋"/>
          <w:sz w:val="32"/>
          <w:szCs w:val="32"/>
          <w:shd w:val="clear" w:color="auto" w:fill="FFFFFF"/>
        </w:rPr>
        <w:t>报告</w:t>
      </w:r>
      <w:r>
        <w:rPr>
          <w:rFonts w:ascii="Times New Roman" w:hAnsi="Times New Roman" w:eastAsia="仿宋"/>
          <w:sz w:val="32"/>
          <w:szCs w:val="32"/>
        </w:rPr>
        <w:t>结论是否正确可以直接作出判断的，出具该异议及相关鉴别</w:t>
      </w:r>
      <w:r>
        <w:rPr>
          <w:rFonts w:ascii="Times New Roman" w:hAnsi="Times New Roman" w:eastAsia="仿宋"/>
          <w:sz w:val="32"/>
          <w:szCs w:val="32"/>
          <w:shd w:val="clear" w:color="auto" w:fill="FFFFFF"/>
        </w:rPr>
        <w:t>报告</w:t>
      </w:r>
      <w:r>
        <w:rPr>
          <w:rFonts w:ascii="Times New Roman" w:hAnsi="Times New Roman" w:eastAsia="仿宋"/>
          <w:sz w:val="32"/>
          <w:szCs w:val="32"/>
        </w:rPr>
        <w:t>的评估意见。</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rPr>
      </w:pPr>
      <w:r>
        <w:rPr>
          <w:rFonts w:ascii="Times New Roman" w:hAnsi="Times New Roman" w:eastAsia="仿宋"/>
          <w:sz w:val="32"/>
          <w:szCs w:val="32"/>
        </w:rPr>
        <w:t>对于鉴别报告结论是否正确无法直接判断的，专家委员会向鉴别委托方反馈修改意见。修改完善后的鉴别报告应再次提交专家委员会进行评估。</w:t>
      </w:r>
    </w:p>
    <w:p>
      <w:pPr>
        <w:pStyle w:val="5"/>
        <w:widowControl/>
        <w:shd w:val="clear" w:color="auto" w:fill="auto"/>
        <w:spacing w:before="0" w:beforeAutospacing="0" w:after="0" w:afterAutospacing="0" w:line="600" w:lineRule="exact"/>
        <w:ind w:firstLine="640" w:firstLineChars="200"/>
        <w:outlineLvl w:val="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六、报告复核</w:t>
      </w:r>
    </w:p>
    <w:p>
      <w:pPr>
        <w:pStyle w:val="5"/>
        <w:widowControl/>
        <w:shd w:val="clear" w:color="auto" w:fill="auto"/>
        <w:spacing w:before="0" w:beforeAutospacing="0" w:after="0" w:afterAutospacing="0" w:line="60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rPr>
        <w:t>评估意见反馈给鉴别委托方和异议提出方后，鉴别委托方将修改后的鉴别报告和评估意见等相关资料上传至全国危险废物鉴别信息公开服务平台，经秘书处复核无误后向社会公开，同时向鉴别委托方所在地市生态环境部门提交书面报告。</w:t>
      </w:r>
    </w:p>
    <w:p>
      <w:pPr>
        <w:pStyle w:val="5"/>
        <w:widowControl/>
        <w:shd w:val="clear" w:color="auto" w:fill="auto"/>
        <w:spacing w:before="0" w:beforeAutospacing="0" w:after="0" w:afterAutospacing="0" w:line="600" w:lineRule="exact"/>
        <w:ind w:firstLine="640" w:firstLineChars="200"/>
        <w:jc w:val="both"/>
        <w:rPr>
          <w:rFonts w:hint="eastAsia" w:ascii="Times New Roman" w:hAnsi="Times New Roman" w:eastAsia="仿宋"/>
          <w:sz w:val="32"/>
          <w:szCs w:val="32"/>
          <w:shd w:val="clear" w:color="auto" w:fill="FFFFFF"/>
        </w:rPr>
      </w:pPr>
    </w:p>
    <w:p>
      <w:pPr>
        <w:pStyle w:val="5"/>
        <w:widowControl/>
        <w:shd w:val="clear" w:color="auto" w:fill="auto"/>
        <w:spacing w:before="0" w:beforeAutospacing="0" w:after="0" w:afterAutospacing="0" w:line="600" w:lineRule="exact"/>
        <w:ind w:firstLine="640" w:firstLineChars="200"/>
        <w:jc w:val="both"/>
        <w:rPr>
          <w:rFonts w:hint="eastAsia" w:ascii="黑体" w:hAnsi="黑体" w:eastAsia="黑体" w:cs="黑体"/>
          <w:sz w:val="32"/>
          <w:szCs w:val="32"/>
          <w:shd w:val="clear" w:color="auto" w:fill="FFFFFF"/>
        </w:rPr>
        <w:sectPr>
          <w:pgSz w:w="11906" w:h="16838"/>
          <w:pgMar w:top="1440" w:right="1361" w:bottom="1701" w:left="1474" w:header="851" w:footer="1020" w:gutter="0"/>
          <w:cols w:space="720" w:num="1"/>
          <w:docGrid w:type="lines" w:linePitch="312" w:charSpace="0"/>
        </w:sectPr>
      </w:pPr>
    </w:p>
    <w:p>
      <w:pPr>
        <w:pStyle w:val="5"/>
        <w:widowControl/>
        <w:shd w:val="clear" w:color="auto" w:fill="FFFFFF"/>
        <w:spacing w:before="0" w:beforeAutospacing="0" w:after="0" w:afterAutospacing="0" w:line="600" w:lineRule="exact"/>
        <w:jc w:val="both"/>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附图</w:t>
      </w:r>
    </w:p>
    <w:p>
      <w:pPr>
        <w:pStyle w:val="5"/>
        <w:widowControl/>
        <w:shd w:val="clear" w:color="auto" w:fill="FFFFFF"/>
        <w:adjustRightInd w:val="0"/>
        <w:snapToGrid w:val="0"/>
        <w:spacing w:before="0" w:beforeAutospacing="0" w:after="0" w:afterAutospacing="0"/>
        <w:ind w:firstLine="0" w:firstLineChars="0"/>
        <w:jc w:val="center"/>
        <w:rPr>
          <w:rFonts w:hint="eastAsia" w:ascii="黑体" w:hAnsi="黑体" w:eastAsia="黑体" w:cs="黑体"/>
          <w:sz w:val="32"/>
          <w:szCs w:val="32"/>
          <w:shd w:val="clear" w:color="auto" w:fill="FFFFFF"/>
        </w:rPr>
      </w:pPr>
      <w:r>
        <w:object>
          <v:shape id="_x0000_i1025" o:spt="75" type="#_x0000_t75" style="height:564.65pt;width:415.25pt;" o:ole="t" filled="f"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pStyle w:val="5"/>
        <w:widowControl/>
        <w:shd w:val="clear" w:color="auto" w:fill="FFFFFF"/>
        <w:spacing w:before="156" w:beforeLines="50" w:beforeAutospacing="0" w:after="156" w:afterLines="50" w:afterAutospacing="0" w:line="600" w:lineRule="exact"/>
        <w:jc w:val="center"/>
        <w:rPr>
          <w:rFonts w:hint="eastAsia" w:ascii="黑体" w:hAnsi="黑体" w:eastAsia="黑体" w:cs="方正黑体_GBK"/>
          <w:sz w:val="36"/>
          <w:szCs w:val="36"/>
          <w:shd w:val="clear" w:color="auto" w:fill="FFFFFF"/>
        </w:rPr>
      </w:pPr>
      <w:r>
        <w:rPr>
          <w:rFonts w:hint="eastAsia" w:ascii="黑体" w:hAnsi="黑体" w:eastAsia="黑体" w:cs="方正黑体_GBK"/>
          <w:sz w:val="36"/>
          <w:szCs w:val="36"/>
          <w:shd w:val="clear" w:color="auto" w:fill="FFFFFF"/>
        </w:rPr>
        <w:t>危险废物鉴别异议评估流程图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E5FF8"/>
    <w:rsid w:val="0D9E5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next w:val="3"/>
    <w:unhideWhenUsed/>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3">
    <w:name w:val="index 6"/>
    <w:basedOn w:val="1"/>
    <w:next w:val="1"/>
    <w:qFormat/>
    <w:uiPriority w:val="0"/>
    <w:pPr>
      <w:ind w:left="2100"/>
    </w:pPr>
    <w:rPr>
      <w:rFonts w:ascii="Times New Roman" w:hAnsi="Times New Roman" w:eastAsia="宋体"/>
    </w:rPr>
  </w:style>
  <w:style w:type="paragraph" w:styleId="4">
    <w:name w:val="footer"/>
    <w:basedOn w:val="1"/>
    <w:next w:val="1"/>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sz w:val="18"/>
      <w:szCs w:val="18"/>
      <w:lang w:val="en-US" w:eastAsia="zh-CN"/>
    </w:rPr>
  </w:style>
  <w:style w:type="paragraph" w:styleId="5">
    <w:name w:val="Normal (Web)"/>
    <w:basedOn w:val="1"/>
    <w:uiPriority w:val="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cs="Times New Roman"/>
      <w:kern w:val="0"/>
      <w:sz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2022-07-11T02:26:00Z</dcterms:created>
  <dc:creator>凌文婷</dc:creator>
  <cp:lastModifiedBy>凌文婷</cp:lastModifiedBy>
  <dcterms:modified xsi:type="dcterms:W3CDTF">2022-07-11T02:26:57Z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