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ind w:firstLine="720"/>
        <w:jc w:val="center"/>
        <w:rPr>
          <w:rFonts w:cs="Times New Roman"/>
          <w:color w:val="FF0000"/>
          <w:sz w:val="36"/>
          <w:szCs w:val="40"/>
        </w:rPr>
      </w:pPr>
      <w:bookmarkStart w:id="271" w:name="_GoBack"/>
      <w:bookmarkEnd w:id="271"/>
    </w:p>
    <w:p>
      <w:pPr>
        <w:adjustRightInd w:val="0"/>
        <w:spacing w:line="480" w:lineRule="auto"/>
        <w:ind w:firstLine="0" w:firstLineChars="0"/>
        <w:jc w:val="center"/>
        <w:rPr>
          <w:rFonts w:eastAsia="黑体" w:cs="Times New Roman"/>
          <w:sz w:val="44"/>
          <w:szCs w:val="44"/>
        </w:rPr>
      </w:pPr>
      <w:bookmarkStart w:id="0" w:name="_Hlk42781586"/>
    </w:p>
    <w:p>
      <w:pPr>
        <w:adjustRightInd w:val="0"/>
        <w:spacing w:line="480" w:lineRule="auto"/>
        <w:ind w:firstLine="0" w:firstLineChars="0"/>
        <w:jc w:val="center"/>
        <w:rPr>
          <w:rFonts w:eastAsia="黑体" w:cs="Times New Roman"/>
          <w:sz w:val="44"/>
          <w:szCs w:val="44"/>
        </w:rPr>
      </w:pPr>
    </w:p>
    <w:p>
      <w:pPr>
        <w:adjustRightInd w:val="0"/>
        <w:spacing w:line="480" w:lineRule="auto"/>
        <w:ind w:firstLine="0" w:firstLineChars="0"/>
        <w:jc w:val="center"/>
        <w:rPr>
          <w:rFonts w:eastAsia="黑体" w:cs="Times New Roman"/>
          <w:sz w:val="44"/>
          <w:szCs w:val="44"/>
        </w:rPr>
      </w:pPr>
    </w:p>
    <w:p>
      <w:pPr>
        <w:widowControl/>
        <w:autoSpaceDE w:val="0"/>
        <w:autoSpaceDN w:val="0"/>
        <w:adjustRightInd w:val="0"/>
        <w:spacing w:line="240" w:lineRule="auto"/>
        <w:ind w:firstLine="0" w:firstLineChars="0"/>
        <w:jc w:val="center"/>
        <w:rPr>
          <w:rFonts w:eastAsia="黑体" w:cs="Times New Roman"/>
          <w:kern w:val="0"/>
          <w:sz w:val="52"/>
          <w:szCs w:val="52"/>
        </w:rPr>
      </w:pPr>
      <w:r>
        <w:rPr>
          <w:rFonts w:eastAsia="黑体" w:cs="Times New Roman"/>
          <w:kern w:val="0"/>
          <w:sz w:val="52"/>
          <w:szCs w:val="52"/>
        </w:rPr>
        <w:t>广西壮族自治区建设用地土壤污染状况调查、风险评估及效果评估报告</w:t>
      </w:r>
    </w:p>
    <w:p>
      <w:pPr>
        <w:widowControl/>
        <w:autoSpaceDE w:val="0"/>
        <w:autoSpaceDN w:val="0"/>
        <w:adjustRightInd w:val="0"/>
        <w:spacing w:line="240" w:lineRule="auto"/>
        <w:ind w:firstLine="0" w:firstLineChars="0"/>
        <w:jc w:val="center"/>
        <w:rPr>
          <w:rFonts w:eastAsia="黑体" w:cs="Times New Roman"/>
          <w:kern w:val="0"/>
          <w:sz w:val="52"/>
          <w:szCs w:val="52"/>
        </w:rPr>
      </w:pPr>
      <w:r>
        <w:rPr>
          <w:rFonts w:eastAsia="黑体" w:cs="Times New Roman"/>
          <w:kern w:val="0"/>
          <w:sz w:val="52"/>
          <w:szCs w:val="52"/>
        </w:rPr>
        <w:t>技术审查要点</w:t>
      </w:r>
    </w:p>
    <w:bookmarkEnd w:id="0"/>
    <w:p>
      <w:pPr>
        <w:adjustRightInd w:val="0"/>
        <w:ind w:firstLine="560"/>
        <w:jc w:val="center"/>
        <w:rPr>
          <w:rFonts w:cs="Times New Roman"/>
          <w:szCs w:val="36"/>
        </w:rPr>
      </w:pPr>
    </w:p>
    <w:p>
      <w:pPr>
        <w:adjustRightInd w:val="0"/>
        <w:ind w:firstLine="560"/>
        <w:jc w:val="center"/>
        <w:rPr>
          <w:rFonts w:cs="Times New Roman"/>
          <w:szCs w:val="36"/>
        </w:rPr>
      </w:pPr>
    </w:p>
    <w:p>
      <w:pPr>
        <w:adjustRightInd w:val="0"/>
        <w:ind w:firstLine="560"/>
        <w:jc w:val="center"/>
        <w:rPr>
          <w:rFonts w:cs="Times New Roman"/>
          <w:szCs w:val="36"/>
        </w:rPr>
      </w:pPr>
    </w:p>
    <w:p>
      <w:pPr>
        <w:adjustRightInd w:val="0"/>
        <w:ind w:firstLine="560"/>
        <w:jc w:val="center"/>
        <w:rPr>
          <w:rFonts w:cs="Times New Roman"/>
          <w:szCs w:val="36"/>
        </w:rPr>
      </w:pPr>
    </w:p>
    <w:p>
      <w:pPr>
        <w:adjustRightInd w:val="0"/>
        <w:ind w:firstLine="560"/>
        <w:jc w:val="center"/>
        <w:rPr>
          <w:rFonts w:cs="Times New Roman"/>
          <w:szCs w:val="36"/>
        </w:rPr>
      </w:pPr>
    </w:p>
    <w:p>
      <w:pPr>
        <w:adjustRightInd w:val="0"/>
        <w:ind w:firstLine="560"/>
        <w:jc w:val="center"/>
        <w:rPr>
          <w:rFonts w:cs="Times New Roman"/>
          <w:szCs w:val="36"/>
        </w:rPr>
      </w:pPr>
    </w:p>
    <w:p>
      <w:pPr>
        <w:adjustRightInd w:val="0"/>
        <w:ind w:firstLine="720"/>
        <w:jc w:val="center"/>
        <w:rPr>
          <w:rFonts w:cs="Times New Roman"/>
          <w:sz w:val="36"/>
          <w:szCs w:val="40"/>
        </w:rPr>
      </w:pPr>
    </w:p>
    <w:p>
      <w:pPr>
        <w:adjustRightInd w:val="0"/>
        <w:ind w:firstLine="640"/>
        <w:jc w:val="center"/>
        <w:rPr>
          <w:rFonts w:eastAsia="黑体" w:cs="Times New Roman"/>
          <w:color w:val="000000"/>
          <w:sz w:val="32"/>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992" w:gutter="0"/>
          <w:cols w:space="425" w:num="1"/>
          <w:docGrid w:type="lines" w:linePitch="435" w:charSpace="0"/>
        </w:sectPr>
      </w:pPr>
    </w:p>
    <w:sdt>
      <w:sdtPr>
        <w:rPr>
          <w:rFonts w:hint="eastAsia" w:ascii="黑体" w:hAnsi="黑体" w:eastAsia="黑体" w:cs="黑体"/>
          <w:kern w:val="0"/>
          <w:sz w:val="32"/>
          <w:szCs w:val="32"/>
        </w:rPr>
        <w:id w:val="147482285"/>
        <w:docPartObj>
          <w:docPartGallery w:val="Table of Contents"/>
          <w:docPartUnique/>
        </w:docPartObj>
      </w:sdtPr>
      <w:sdtEndPr>
        <w:rPr>
          <w:rFonts w:hint="eastAsia" w:ascii="黑体" w:hAnsi="黑体" w:eastAsia="仿宋_GB2312" w:cs="黑体"/>
          <w:kern w:val="2"/>
          <w:sz w:val="28"/>
          <w:szCs w:val="22"/>
        </w:rPr>
      </w:sdtEndPr>
      <w:sdtContent>
        <w:p>
          <w:pPr>
            <w:spacing w:line="240" w:lineRule="auto"/>
            <w:ind w:firstLine="0" w:firstLineChars="0"/>
            <w:jc w:val="center"/>
            <w:rPr>
              <w:rFonts w:ascii="黑体" w:hAnsi="黑体" w:eastAsia="黑体" w:cs="黑体"/>
              <w:sz w:val="32"/>
              <w:szCs w:val="32"/>
            </w:rPr>
          </w:pPr>
          <w:r>
            <w:rPr>
              <w:rFonts w:hint="eastAsia" w:ascii="黑体" w:hAnsi="黑体" w:eastAsia="黑体" w:cs="黑体"/>
              <w:sz w:val="32"/>
              <w:szCs w:val="32"/>
            </w:rPr>
            <w:t>目  次</w:t>
          </w:r>
        </w:p>
        <w:p>
          <w:pPr>
            <w:spacing w:line="240" w:lineRule="auto"/>
            <w:ind w:firstLine="0" w:firstLineChars="0"/>
            <w:jc w:val="center"/>
            <w:rPr>
              <w:rFonts w:ascii="黑体" w:hAnsi="黑体" w:eastAsia="黑体" w:cs="黑体"/>
              <w:sz w:val="32"/>
              <w:szCs w:val="32"/>
            </w:rPr>
          </w:pPr>
        </w:p>
        <w:p>
          <w:pPr>
            <w:pStyle w:val="13"/>
            <w:tabs>
              <w:tab w:val="right" w:leader="dot" w:pos="8504"/>
            </w:tabs>
            <w:spacing w:line="390" w:lineRule="exact"/>
            <w:ind w:firstLine="0" w:firstLineChars="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"1-3" \h \u </w:instrText>
          </w:r>
          <w:r>
            <w:rPr>
              <w:rFonts w:hint="eastAsia" w:ascii="宋体" w:hAnsi="宋体" w:eastAsia="宋体" w:cs="宋体"/>
              <w:sz w:val="24"/>
              <w:szCs w:val="24"/>
            </w:rPr>
            <w:fldChar w:fldCharType="separate"/>
          </w:r>
          <w:r>
            <w:fldChar w:fldCharType="begin"/>
          </w:r>
          <w:r>
            <w:instrText xml:space="preserve"> HYPERLINK \l "_Toc22556" </w:instrText>
          </w:r>
          <w:r>
            <w:fldChar w:fldCharType="separate"/>
          </w:r>
          <w:r>
            <w:rPr>
              <w:rFonts w:hint="eastAsia" w:ascii="宋体" w:hAnsi="宋体" w:eastAsia="宋体" w:cs="宋体"/>
              <w:sz w:val="24"/>
              <w:szCs w:val="24"/>
            </w:rPr>
            <w:t>总   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_Toc22556 \h </w:instrText>
          </w:r>
          <w:r>
            <w:rPr>
              <w:rFonts w:hint="eastAsia" w:ascii="宋体" w:hAnsi="宋体" w:eastAsia="宋体" w:cs="宋体"/>
              <w:sz w:val="24"/>
              <w:szCs w:val="24"/>
            </w:rPr>
            <w:fldChar w:fldCharType="separate"/>
          </w:r>
          <w:r>
            <w:rPr>
              <w:rFonts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"_Toc26181" </w:instrText>
          </w:r>
          <w:r>
            <w:fldChar w:fldCharType="separate"/>
          </w:r>
          <w:r>
            <w:rPr>
              <w:rFonts w:hint="eastAsia" w:ascii="宋体" w:hAnsi="宋体" w:eastAsia="宋体" w:cs="宋体"/>
              <w:sz w:val="24"/>
              <w:szCs w:val="24"/>
            </w:rPr>
            <w:t>1 适用范围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_Toc26181 \h </w:instrText>
          </w:r>
          <w:r>
            <w:rPr>
              <w:rFonts w:hint="eastAsia" w:ascii="宋体" w:hAnsi="宋体" w:eastAsia="宋体" w:cs="宋体"/>
              <w:sz w:val="24"/>
              <w:szCs w:val="24"/>
            </w:rPr>
            <w:fldChar w:fldCharType="separate"/>
          </w:r>
          <w:r>
            <w:rPr>
              <w:rFonts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"_Toc3361" </w:instrText>
          </w:r>
          <w:r>
            <w:fldChar w:fldCharType="separate"/>
          </w:r>
          <w:r>
            <w:rPr>
              <w:rFonts w:hint="eastAsia" w:ascii="宋体" w:hAnsi="宋体" w:eastAsia="宋体" w:cs="宋体"/>
              <w:sz w:val="24"/>
              <w:szCs w:val="24"/>
            </w:rPr>
            <w:t>2 编制与参考依据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_Toc3361 \h </w:instrText>
          </w:r>
          <w:r>
            <w:rPr>
              <w:rFonts w:hint="eastAsia" w:ascii="宋体" w:hAnsi="宋体" w:eastAsia="宋体" w:cs="宋体"/>
              <w:sz w:val="24"/>
              <w:szCs w:val="24"/>
            </w:rPr>
            <w:fldChar w:fldCharType="separate"/>
          </w:r>
          <w:r>
            <w:rPr>
              <w:rFonts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"_Toc7158" </w:instrText>
          </w:r>
          <w:r>
            <w:fldChar w:fldCharType="separate"/>
          </w:r>
          <w:r>
            <w:rPr>
              <w:rFonts w:hint="eastAsia" w:ascii="宋体" w:hAnsi="宋体" w:eastAsia="宋体" w:cs="宋体"/>
              <w:sz w:val="24"/>
              <w:szCs w:val="24"/>
            </w:rPr>
            <w:t>3 形式要求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_Toc7158 \h </w:instrText>
          </w:r>
          <w:r>
            <w:rPr>
              <w:rFonts w:hint="eastAsia" w:ascii="宋体" w:hAnsi="宋体" w:eastAsia="宋体" w:cs="宋体"/>
              <w:sz w:val="24"/>
              <w:szCs w:val="24"/>
            </w:rPr>
            <w:fldChar w:fldCharType="separate"/>
          </w:r>
          <w:r>
            <w:rPr>
              <w:rFonts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"_Toc16104" </w:instrText>
          </w:r>
          <w:r>
            <w:fldChar w:fldCharType="separate"/>
          </w:r>
          <w:r>
            <w:rPr>
              <w:rFonts w:hint="eastAsia" w:ascii="宋体" w:hAnsi="宋体" w:eastAsia="宋体" w:cs="宋体"/>
              <w:sz w:val="24"/>
              <w:szCs w:val="24"/>
            </w:rPr>
            <w:t>4 报告编制大纲</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_Toc16104 \h </w:instrText>
          </w:r>
          <w:r>
            <w:rPr>
              <w:rFonts w:hint="eastAsia" w:ascii="宋体" w:hAnsi="宋体" w:eastAsia="宋体" w:cs="宋体"/>
              <w:sz w:val="24"/>
              <w:szCs w:val="24"/>
            </w:rPr>
            <w:fldChar w:fldCharType="separate"/>
          </w:r>
          <w:r>
            <w:rPr>
              <w:rFonts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"_Toc6835" </w:instrText>
          </w:r>
          <w:r>
            <w:fldChar w:fldCharType="separate"/>
          </w:r>
          <w:r>
            <w:rPr>
              <w:rFonts w:hint="eastAsia" w:ascii="宋体" w:hAnsi="宋体" w:eastAsia="宋体" w:cs="宋体"/>
              <w:sz w:val="24"/>
              <w:szCs w:val="24"/>
            </w:rPr>
            <w:t>5 报告审查评价表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_Toc6835 \h </w:instrText>
          </w:r>
          <w:r>
            <w:rPr>
              <w:rFonts w:hint="eastAsia" w:ascii="宋体" w:hAnsi="宋体" w:eastAsia="宋体" w:cs="宋体"/>
              <w:sz w:val="24"/>
              <w:szCs w:val="24"/>
            </w:rPr>
            <w:fldChar w:fldCharType="separate"/>
          </w:r>
          <w:r>
            <w:rPr>
              <w:rFonts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tabs>
              <w:tab w:val="right" w:leader="dot" w:pos="8504"/>
            </w:tabs>
            <w:spacing w:line="390" w:lineRule="exact"/>
            <w:ind w:firstLine="0" w:firstLineChars="0"/>
            <w:jc w:val="left"/>
            <w:rPr>
              <w:rFonts w:ascii="宋体" w:hAnsi="宋体" w:eastAsia="宋体" w:cs="宋体"/>
              <w:sz w:val="24"/>
              <w:szCs w:val="24"/>
            </w:rPr>
          </w:pPr>
          <w:r>
            <w:fldChar w:fldCharType="begin"/>
          </w:r>
          <w:r>
            <w:instrText xml:space="preserve"> HYPERLINK \l "_Toc24738" </w:instrText>
          </w:r>
          <w:r>
            <w:fldChar w:fldCharType="separate"/>
          </w:r>
          <w:r>
            <w:rPr>
              <w:rFonts w:hint="eastAsia" w:ascii="宋体" w:hAnsi="宋体" w:eastAsia="宋体" w:cs="宋体"/>
              <w:sz w:val="24"/>
              <w:szCs w:val="24"/>
            </w:rPr>
            <w:t>第一章 建设用地土壤污染状况调查报告审查技术要点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_Toc24738 \h </w:instrText>
          </w:r>
          <w:r>
            <w:rPr>
              <w:rFonts w:hint="eastAsia" w:ascii="宋体" w:hAnsi="宋体" w:eastAsia="宋体" w:cs="宋体"/>
              <w:sz w:val="24"/>
              <w:szCs w:val="24"/>
            </w:rPr>
            <w:fldChar w:fldCharType="separate"/>
          </w:r>
          <w:r>
            <w:rPr>
              <w:rFonts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"_Toc19797" </w:instrText>
          </w:r>
          <w:r>
            <w:fldChar w:fldCharType="separate"/>
          </w:r>
          <w:r>
            <w:rPr>
              <w:rFonts w:hint="eastAsia" w:ascii="宋体" w:hAnsi="宋体" w:eastAsia="宋体" w:cs="宋体"/>
              <w:sz w:val="24"/>
              <w:szCs w:val="24"/>
            </w:rPr>
            <w:t>1 第一阶段土壤污染状况调查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_Toc19797 \h </w:instrText>
          </w:r>
          <w:r>
            <w:rPr>
              <w:rFonts w:hint="eastAsia" w:ascii="宋体" w:hAnsi="宋体" w:eastAsia="宋体" w:cs="宋体"/>
              <w:sz w:val="24"/>
              <w:szCs w:val="24"/>
            </w:rPr>
            <w:fldChar w:fldCharType="separate"/>
          </w:r>
          <w:r>
            <w:rPr>
              <w:rFonts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"_Toc11369" </w:instrText>
          </w:r>
          <w:r>
            <w:fldChar w:fldCharType="separate"/>
          </w:r>
          <w:r>
            <w:rPr>
              <w:rFonts w:hint="eastAsia" w:ascii="宋体" w:hAnsi="宋体" w:eastAsia="宋体" w:cs="宋体"/>
              <w:sz w:val="24"/>
              <w:szCs w:val="24"/>
            </w:rPr>
            <w:t>1.1 资料收集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_Toc11369 \h </w:instrText>
          </w:r>
          <w:r>
            <w:rPr>
              <w:rFonts w:hint="eastAsia" w:ascii="宋体" w:hAnsi="宋体" w:eastAsia="宋体" w:cs="宋体"/>
              <w:sz w:val="24"/>
              <w:szCs w:val="24"/>
            </w:rPr>
            <w:fldChar w:fldCharType="separate"/>
          </w:r>
          <w:r>
            <w:rPr>
              <w:rFonts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"_Toc15761" </w:instrText>
          </w:r>
          <w:r>
            <w:fldChar w:fldCharType="separate"/>
          </w:r>
          <w:r>
            <w:rPr>
              <w:rFonts w:hint="eastAsia" w:ascii="宋体" w:hAnsi="宋体" w:eastAsia="宋体" w:cs="宋体"/>
              <w:sz w:val="24"/>
              <w:szCs w:val="24"/>
            </w:rPr>
            <w:t>1.2 现场踏勘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_Toc15761 \h </w:instrText>
          </w:r>
          <w:r>
            <w:rPr>
              <w:rFonts w:hint="eastAsia" w:ascii="宋体" w:hAnsi="宋体" w:eastAsia="宋体" w:cs="宋体"/>
              <w:sz w:val="24"/>
              <w:szCs w:val="24"/>
            </w:rPr>
            <w:fldChar w:fldCharType="separate"/>
          </w:r>
          <w:r>
            <w:rPr>
              <w:rFonts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"_Toc25885" </w:instrText>
          </w:r>
          <w:r>
            <w:fldChar w:fldCharType="separate"/>
          </w:r>
          <w:r>
            <w:rPr>
              <w:rFonts w:hint="eastAsia" w:ascii="宋体" w:hAnsi="宋体" w:eastAsia="宋体" w:cs="宋体"/>
              <w:sz w:val="24"/>
              <w:szCs w:val="24"/>
            </w:rPr>
            <w:t>1.3 人员访谈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_Toc25885 \h </w:instrText>
          </w:r>
          <w:r>
            <w:rPr>
              <w:rFonts w:hint="eastAsia" w:ascii="宋体" w:hAnsi="宋体" w:eastAsia="宋体" w:cs="宋体"/>
              <w:sz w:val="24"/>
              <w:szCs w:val="24"/>
            </w:rPr>
            <w:fldChar w:fldCharType="separate"/>
          </w:r>
          <w:r>
            <w:rPr>
              <w:rFonts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"_Toc27357" </w:instrText>
          </w:r>
          <w:r>
            <w:fldChar w:fldCharType="separate"/>
          </w:r>
          <w:r>
            <w:rPr>
              <w:rFonts w:hint="eastAsia" w:ascii="宋体" w:hAnsi="宋体" w:eastAsia="宋体" w:cs="宋体"/>
              <w:sz w:val="24"/>
              <w:szCs w:val="24"/>
            </w:rPr>
            <w:t>1.4 污染识别信息分析及结论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_Toc27357 \h </w:instrText>
          </w:r>
          <w:r>
            <w:rPr>
              <w:rFonts w:hint="eastAsia" w:ascii="宋体" w:hAnsi="宋体" w:eastAsia="宋体" w:cs="宋体"/>
              <w:sz w:val="24"/>
              <w:szCs w:val="24"/>
            </w:rPr>
            <w:fldChar w:fldCharType="separate"/>
          </w:r>
          <w:r>
            <w:rPr>
              <w:rFonts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"_Toc31783" </w:instrText>
          </w:r>
          <w:r>
            <w:fldChar w:fldCharType="separate"/>
          </w:r>
          <w:r>
            <w:rPr>
              <w:rFonts w:hint="eastAsia" w:ascii="宋体" w:hAnsi="宋体" w:eastAsia="宋体" w:cs="宋体"/>
              <w:sz w:val="24"/>
              <w:szCs w:val="24"/>
            </w:rPr>
            <w:t>2 第二阶段土壤污染状况调查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_Toc31783 \h </w:instrText>
          </w:r>
          <w:r>
            <w:rPr>
              <w:rFonts w:hint="eastAsia" w:ascii="宋体" w:hAnsi="宋体" w:eastAsia="宋体" w:cs="宋体"/>
              <w:sz w:val="24"/>
              <w:szCs w:val="24"/>
            </w:rPr>
            <w:fldChar w:fldCharType="separate"/>
          </w:r>
          <w:r>
            <w:rPr>
              <w:rFonts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"_Toc22940" </w:instrText>
          </w:r>
          <w:r>
            <w:fldChar w:fldCharType="separate"/>
          </w:r>
          <w:r>
            <w:rPr>
              <w:rFonts w:hint="eastAsia" w:ascii="宋体" w:hAnsi="宋体" w:eastAsia="宋体" w:cs="宋体"/>
              <w:sz w:val="24"/>
              <w:szCs w:val="24"/>
            </w:rPr>
            <w:t>2.1 初步调查监测方案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_Toc22940 \h </w:instrText>
          </w:r>
          <w:r>
            <w:rPr>
              <w:rFonts w:hint="eastAsia" w:ascii="宋体" w:hAnsi="宋体" w:eastAsia="宋体" w:cs="宋体"/>
              <w:sz w:val="24"/>
              <w:szCs w:val="24"/>
            </w:rPr>
            <w:fldChar w:fldCharType="separate"/>
          </w:r>
          <w:r>
            <w:rPr>
              <w:rFonts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"_Toc25203" </w:instrText>
          </w:r>
          <w:r>
            <w:fldChar w:fldCharType="separate"/>
          </w:r>
          <w:r>
            <w:rPr>
              <w:rFonts w:hint="eastAsia" w:ascii="宋体" w:hAnsi="宋体" w:eastAsia="宋体" w:cs="宋体"/>
              <w:sz w:val="24"/>
              <w:szCs w:val="24"/>
            </w:rPr>
            <w:t>2.2 详细调查监测方案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_Toc25203 \h </w:instrText>
          </w:r>
          <w:r>
            <w:rPr>
              <w:rFonts w:hint="eastAsia" w:ascii="宋体" w:hAnsi="宋体" w:eastAsia="宋体" w:cs="宋体"/>
              <w:sz w:val="24"/>
              <w:szCs w:val="24"/>
            </w:rPr>
            <w:fldChar w:fldCharType="separate"/>
          </w:r>
          <w:r>
            <w:rPr>
              <w:rFonts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"_Toc9405" </w:instrText>
          </w:r>
          <w:r>
            <w:fldChar w:fldCharType="separate"/>
          </w:r>
          <w:r>
            <w:rPr>
              <w:rFonts w:hint="eastAsia" w:ascii="宋体" w:hAnsi="宋体" w:eastAsia="宋体" w:cs="宋体"/>
              <w:sz w:val="24"/>
              <w:szCs w:val="24"/>
            </w:rPr>
            <w:t>3 水文地质调查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_Toc9405 \h </w:instrText>
          </w:r>
          <w:r>
            <w:rPr>
              <w:rFonts w:hint="eastAsia" w:ascii="宋体" w:hAnsi="宋体" w:eastAsia="宋体" w:cs="宋体"/>
              <w:sz w:val="24"/>
              <w:szCs w:val="24"/>
            </w:rPr>
            <w:fldChar w:fldCharType="separate"/>
          </w:r>
          <w:r>
            <w:rPr>
              <w:rFonts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"_Toc17951" </w:instrText>
          </w:r>
          <w:r>
            <w:fldChar w:fldCharType="separate"/>
          </w:r>
          <w:r>
            <w:rPr>
              <w:rFonts w:hint="eastAsia" w:ascii="宋体" w:hAnsi="宋体" w:eastAsia="宋体" w:cs="宋体"/>
              <w:sz w:val="24"/>
              <w:szCs w:val="24"/>
            </w:rPr>
            <w:t>4 样品采集与分析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_Toc17951 \h </w:instrText>
          </w:r>
          <w:r>
            <w:rPr>
              <w:rFonts w:hint="eastAsia" w:ascii="宋体" w:hAnsi="宋体" w:eastAsia="宋体" w:cs="宋体"/>
              <w:sz w:val="24"/>
              <w:szCs w:val="24"/>
            </w:rPr>
            <w:fldChar w:fldCharType="separate"/>
          </w:r>
          <w:r>
            <w:rPr>
              <w:rFonts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"_Toc27945" </w:instrText>
          </w:r>
          <w:r>
            <w:fldChar w:fldCharType="separate"/>
          </w:r>
          <w:r>
            <w:rPr>
              <w:rFonts w:hint="eastAsia" w:ascii="宋体" w:hAnsi="宋体" w:eastAsia="宋体" w:cs="宋体"/>
              <w:sz w:val="24"/>
              <w:szCs w:val="24"/>
            </w:rPr>
            <w:t>4.1 土壤样品采集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_Toc27945 \h </w:instrText>
          </w:r>
          <w:r>
            <w:rPr>
              <w:rFonts w:hint="eastAsia" w:ascii="宋体" w:hAnsi="宋体" w:eastAsia="宋体" w:cs="宋体"/>
              <w:sz w:val="24"/>
              <w:szCs w:val="24"/>
            </w:rPr>
            <w:fldChar w:fldCharType="separate"/>
          </w:r>
          <w:r>
            <w:rPr>
              <w:rFonts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"_Toc19115" </w:instrText>
          </w:r>
          <w:r>
            <w:fldChar w:fldCharType="separate"/>
          </w:r>
          <w:r>
            <w:rPr>
              <w:rFonts w:hint="eastAsia" w:ascii="宋体" w:hAnsi="宋体" w:eastAsia="宋体" w:cs="宋体"/>
              <w:sz w:val="24"/>
              <w:szCs w:val="24"/>
            </w:rPr>
            <w:t>4.2 地下水样品采集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_Toc19115 \h </w:instrText>
          </w:r>
          <w:r>
            <w:rPr>
              <w:rFonts w:hint="eastAsia" w:ascii="宋体" w:hAnsi="宋体" w:eastAsia="宋体" w:cs="宋体"/>
              <w:sz w:val="24"/>
              <w:szCs w:val="24"/>
            </w:rPr>
            <w:fldChar w:fldCharType="separate"/>
          </w:r>
          <w:r>
            <w:rPr>
              <w:rFonts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"_Toc7599" </w:instrText>
          </w:r>
          <w:r>
            <w:fldChar w:fldCharType="separate"/>
          </w:r>
          <w:r>
            <w:rPr>
              <w:rFonts w:hint="eastAsia" w:ascii="宋体" w:hAnsi="宋体" w:eastAsia="宋体" w:cs="宋体"/>
              <w:sz w:val="24"/>
              <w:szCs w:val="24"/>
            </w:rPr>
            <w:t>4.3 地表水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_Toc7599 \h </w:instrText>
          </w:r>
          <w:r>
            <w:rPr>
              <w:rFonts w:hint="eastAsia" w:ascii="宋体" w:hAnsi="宋体" w:eastAsia="宋体" w:cs="宋体"/>
              <w:sz w:val="24"/>
              <w:szCs w:val="24"/>
            </w:rPr>
            <w:fldChar w:fldCharType="separate"/>
          </w:r>
          <w:r>
            <w:rPr>
              <w:rFonts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"_Toc30648" </w:instrText>
          </w:r>
          <w:r>
            <w:fldChar w:fldCharType="separate"/>
          </w:r>
          <w:r>
            <w:rPr>
              <w:rFonts w:hint="eastAsia" w:ascii="宋体" w:hAnsi="宋体" w:eastAsia="宋体" w:cs="宋体"/>
              <w:sz w:val="24"/>
              <w:szCs w:val="24"/>
            </w:rPr>
            <w:t>4.4 底泥样品采集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_Toc30648 \h </w:instrText>
          </w:r>
          <w:r>
            <w:rPr>
              <w:rFonts w:hint="eastAsia" w:ascii="宋体" w:hAnsi="宋体" w:eastAsia="宋体" w:cs="宋体"/>
              <w:sz w:val="24"/>
              <w:szCs w:val="24"/>
            </w:rPr>
            <w:fldChar w:fldCharType="separate"/>
          </w:r>
          <w:r>
            <w:rPr>
              <w:rFonts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"_Toc28500" </w:instrText>
          </w:r>
          <w:r>
            <w:fldChar w:fldCharType="separate"/>
          </w:r>
          <w:r>
            <w:rPr>
              <w:rFonts w:hint="eastAsia" w:ascii="宋体" w:hAnsi="宋体" w:eastAsia="宋体" w:cs="宋体"/>
              <w:sz w:val="24"/>
              <w:szCs w:val="24"/>
            </w:rPr>
            <w:t>4.5 残余废弃物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_Toc28500 \h </w:instrText>
          </w:r>
          <w:r>
            <w:rPr>
              <w:rFonts w:hint="eastAsia" w:ascii="宋体" w:hAnsi="宋体" w:eastAsia="宋体" w:cs="宋体"/>
              <w:sz w:val="24"/>
              <w:szCs w:val="24"/>
            </w:rPr>
            <w:fldChar w:fldCharType="separate"/>
          </w:r>
          <w:r>
            <w:rPr>
              <w:rFonts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"_Toc14987" </w:instrText>
          </w:r>
          <w:r>
            <w:fldChar w:fldCharType="separate"/>
          </w:r>
          <w:r>
            <w:rPr>
              <w:rFonts w:hint="eastAsia" w:ascii="宋体" w:hAnsi="宋体" w:eastAsia="宋体" w:cs="宋体"/>
              <w:sz w:val="24"/>
              <w:szCs w:val="24"/>
            </w:rPr>
            <w:t>4.6 样品保存、流转与运输</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_Toc14987 \h </w:instrText>
          </w:r>
          <w:r>
            <w:rPr>
              <w:rFonts w:hint="eastAsia" w:ascii="宋体" w:hAnsi="宋体" w:eastAsia="宋体" w:cs="宋体"/>
              <w:sz w:val="24"/>
              <w:szCs w:val="24"/>
            </w:rPr>
            <w:fldChar w:fldCharType="separate"/>
          </w:r>
          <w:r>
            <w:rPr>
              <w:rFonts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"_Toc14645" </w:instrText>
          </w:r>
          <w:r>
            <w:fldChar w:fldCharType="separate"/>
          </w:r>
          <w:r>
            <w:rPr>
              <w:rFonts w:hint="eastAsia" w:ascii="宋体" w:hAnsi="宋体" w:eastAsia="宋体" w:cs="宋体"/>
              <w:sz w:val="24"/>
              <w:szCs w:val="24"/>
            </w:rPr>
            <w:t>4.7 采样与流转过程资料留痕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_Toc14645 \h </w:instrText>
          </w:r>
          <w:r>
            <w:rPr>
              <w:rFonts w:hint="eastAsia" w:ascii="宋体" w:hAnsi="宋体" w:eastAsia="宋体" w:cs="宋体"/>
              <w:sz w:val="24"/>
              <w:szCs w:val="24"/>
            </w:rPr>
            <w:fldChar w:fldCharType="separate"/>
          </w:r>
          <w:r>
            <w:rPr>
              <w:rFonts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"_Toc30968" </w:instrText>
          </w:r>
          <w:r>
            <w:fldChar w:fldCharType="separate"/>
          </w:r>
          <w:r>
            <w:rPr>
              <w:rFonts w:hint="eastAsia" w:ascii="宋体" w:hAnsi="宋体" w:eastAsia="宋体" w:cs="宋体"/>
              <w:sz w:val="24"/>
              <w:szCs w:val="24"/>
            </w:rPr>
            <w:t>4.8 实验室样品分析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_Toc30968 \h </w:instrText>
          </w:r>
          <w:r>
            <w:rPr>
              <w:rFonts w:hint="eastAsia" w:ascii="宋体" w:hAnsi="宋体" w:eastAsia="宋体" w:cs="宋体"/>
              <w:sz w:val="24"/>
              <w:szCs w:val="24"/>
            </w:rPr>
            <w:fldChar w:fldCharType="separate"/>
          </w:r>
          <w:r>
            <w:rPr>
              <w:rFonts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"_Toc12377" </w:instrText>
          </w:r>
          <w:r>
            <w:fldChar w:fldCharType="separate"/>
          </w:r>
          <w:r>
            <w:rPr>
              <w:rFonts w:hint="eastAsia" w:ascii="宋体" w:hAnsi="宋体" w:eastAsia="宋体" w:cs="宋体"/>
              <w:sz w:val="24"/>
              <w:szCs w:val="24"/>
            </w:rPr>
            <w:t>4.9 异常点排查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_Toc12377 \h </w:instrText>
          </w:r>
          <w:r>
            <w:rPr>
              <w:rFonts w:hint="eastAsia" w:ascii="宋体" w:hAnsi="宋体" w:eastAsia="宋体" w:cs="宋体"/>
              <w:sz w:val="24"/>
              <w:szCs w:val="24"/>
            </w:rPr>
            <w:fldChar w:fldCharType="separate"/>
          </w:r>
          <w:r>
            <w:rPr>
              <w:rFonts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"_Toc26725" </w:instrText>
          </w:r>
          <w:r>
            <w:fldChar w:fldCharType="separate"/>
          </w:r>
          <w:r>
            <w:rPr>
              <w:rFonts w:hint="eastAsia" w:ascii="宋体" w:hAnsi="宋体" w:eastAsia="宋体" w:cs="宋体"/>
              <w:sz w:val="24"/>
              <w:szCs w:val="24"/>
            </w:rPr>
            <w:t>5 质量保证与质量控制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_Toc26725 \h </w:instrText>
          </w:r>
          <w:r>
            <w:rPr>
              <w:rFonts w:hint="eastAsia" w:ascii="宋体" w:hAnsi="宋体" w:eastAsia="宋体" w:cs="宋体"/>
              <w:sz w:val="24"/>
              <w:szCs w:val="24"/>
            </w:rPr>
            <w:fldChar w:fldCharType="separate"/>
          </w:r>
          <w:r>
            <w:rPr>
              <w:rFonts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"_Toc7970" </w:instrText>
          </w:r>
          <w:r>
            <w:fldChar w:fldCharType="separate"/>
          </w:r>
          <w:r>
            <w:rPr>
              <w:rFonts w:hint="eastAsia" w:ascii="宋体" w:hAnsi="宋体" w:eastAsia="宋体" w:cs="宋体"/>
              <w:sz w:val="24"/>
              <w:szCs w:val="24"/>
            </w:rPr>
            <w:t>6 数据分析与评价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_Toc7970 \h </w:instrText>
          </w:r>
          <w:r>
            <w:rPr>
              <w:rFonts w:hint="eastAsia" w:ascii="宋体" w:hAnsi="宋体" w:eastAsia="宋体" w:cs="宋体"/>
              <w:sz w:val="24"/>
              <w:szCs w:val="24"/>
            </w:rPr>
            <w:fldChar w:fldCharType="separate"/>
          </w:r>
          <w:r>
            <w:rPr>
              <w:rFonts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"_Toc12792" </w:instrText>
          </w:r>
          <w:r>
            <w:fldChar w:fldCharType="separate"/>
          </w:r>
          <w:r>
            <w:rPr>
              <w:rFonts w:hint="eastAsia" w:ascii="宋体" w:hAnsi="宋体" w:eastAsia="宋体" w:cs="宋体"/>
              <w:sz w:val="24"/>
              <w:szCs w:val="24"/>
            </w:rPr>
            <w:t>6.1 筛选值的选取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_Toc12792 \h </w:instrText>
          </w:r>
          <w:r>
            <w:rPr>
              <w:rFonts w:hint="eastAsia" w:ascii="宋体" w:hAnsi="宋体" w:eastAsia="宋体" w:cs="宋体"/>
              <w:sz w:val="24"/>
              <w:szCs w:val="24"/>
            </w:rPr>
            <w:fldChar w:fldCharType="separate"/>
          </w:r>
          <w:r>
            <w:rPr>
              <w:rFonts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"_Toc6466" </w:instrText>
          </w:r>
          <w:r>
            <w:fldChar w:fldCharType="separate"/>
          </w:r>
          <w:r>
            <w:rPr>
              <w:rFonts w:hint="eastAsia" w:ascii="宋体" w:hAnsi="宋体" w:eastAsia="宋体" w:cs="宋体"/>
              <w:sz w:val="24"/>
              <w:szCs w:val="24"/>
            </w:rPr>
            <w:t>6.2 污染区域的划定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_Toc6466 \h </w:instrText>
          </w:r>
          <w:r>
            <w:rPr>
              <w:rFonts w:hint="eastAsia" w:ascii="宋体" w:hAnsi="宋体" w:eastAsia="宋体" w:cs="宋体"/>
              <w:sz w:val="24"/>
              <w:szCs w:val="24"/>
            </w:rPr>
            <w:fldChar w:fldCharType="separate"/>
          </w:r>
          <w:r>
            <w:rPr>
              <w:rFonts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"_Toc30004" </w:instrText>
          </w:r>
          <w:r>
            <w:fldChar w:fldCharType="separate"/>
          </w:r>
          <w:r>
            <w:rPr>
              <w:rFonts w:hint="eastAsia" w:ascii="宋体" w:hAnsi="宋体" w:eastAsia="宋体" w:cs="宋体"/>
              <w:sz w:val="24"/>
              <w:szCs w:val="24"/>
            </w:rPr>
            <w:t>7 结论与建议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_Toc30004 \h </w:instrText>
          </w:r>
          <w:r>
            <w:rPr>
              <w:rFonts w:hint="eastAsia" w:ascii="宋体" w:hAnsi="宋体" w:eastAsia="宋体" w:cs="宋体"/>
              <w:sz w:val="24"/>
              <w:szCs w:val="24"/>
            </w:rPr>
            <w:fldChar w:fldCharType="separate"/>
          </w:r>
          <w:r>
            <w:rPr>
              <w:rFonts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tabs>
              <w:tab w:val="right" w:leader="dot" w:pos="8504"/>
            </w:tabs>
            <w:spacing w:line="390" w:lineRule="exact"/>
            <w:ind w:firstLine="0" w:firstLineChars="0"/>
            <w:jc w:val="left"/>
            <w:rPr>
              <w:rFonts w:ascii="宋体" w:hAnsi="宋体" w:eastAsia="宋体" w:cs="宋体"/>
              <w:sz w:val="24"/>
              <w:szCs w:val="24"/>
            </w:rPr>
          </w:pPr>
          <w:r>
            <w:fldChar w:fldCharType="begin"/>
          </w:r>
          <w:r>
            <w:instrText xml:space="preserve"> HYPERLINK \l "_Toc6237" </w:instrText>
          </w:r>
          <w:r>
            <w:fldChar w:fldCharType="separate"/>
          </w:r>
          <w:r>
            <w:rPr>
              <w:rFonts w:hint="eastAsia" w:ascii="宋体" w:hAnsi="宋体" w:eastAsia="宋体" w:cs="宋体"/>
              <w:sz w:val="24"/>
              <w:szCs w:val="24"/>
            </w:rPr>
            <w:t>第二章 建设用地土壤污染风险评估报告审查技术要点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_Toc6237 \h </w:instrText>
          </w:r>
          <w:r>
            <w:rPr>
              <w:rFonts w:hint="eastAsia" w:ascii="宋体" w:hAnsi="宋体" w:eastAsia="宋体" w:cs="宋体"/>
              <w:sz w:val="24"/>
              <w:szCs w:val="24"/>
            </w:rPr>
            <w:fldChar w:fldCharType="separate"/>
          </w:r>
          <w:r>
            <w:rPr>
              <w:rFonts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"_Toc1173" </w:instrText>
          </w:r>
          <w:r>
            <w:fldChar w:fldCharType="separate"/>
          </w:r>
          <w:r>
            <w:rPr>
              <w:rFonts w:hint="eastAsia" w:ascii="宋体" w:hAnsi="宋体" w:eastAsia="宋体" w:cs="宋体"/>
              <w:sz w:val="24"/>
              <w:szCs w:val="24"/>
            </w:rPr>
            <w:t>1 危害识别</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_Toc1173 \h </w:instrText>
          </w:r>
          <w:r>
            <w:rPr>
              <w:rFonts w:hint="eastAsia" w:ascii="宋体" w:hAnsi="宋体" w:eastAsia="宋体" w:cs="宋体"/>
              <w:sz w:val="24"/>
              <w:szCs w:val="24"/>
            </w:rPr>
            <w:fldChar w:fldCharType="separate"/>
          </w:r>
          <w:r>
            <w:rPr>
              <w:rFonts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"_Toc3779" </w:instrText>
          </w:r>
          <w:r>
            <w:fldChar w:fldCharType="separate"/>
          </w:r>
          <w:r>
            <w:rPr>
              <w:rFonts w:hint="eastAsia" w:ascii="宋体" w:hAnsi="宋体" w:eastAsia="宋体" w:cs="宋体"/>
              <w:sz w:val="24"/>
              <w:szCs w:val="24"/>
            </w:rPr>
            <w:t>1.1 土地利用方式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_Toc3779 \h </w:instrText>
          </w:r>
          <w:r>
            <w:rPr>
              <w:rFonts w:hint="eastAsia" w:ascii="宋体" w:hAnsi="宋体" w:eastAsia="宋体" w:cs="宋体"/>
              <w:sz w:val="24"/>
              <w:szCs w:val="24"/>
            </w:rPr>
            <w:fldChar w:fldCharType="separate"/>
          </w:r>
          <w:r>
            <w:rPr>
              <w:rFonts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"_Toc21480" </w:instrText>
          </w:r>
          <w:r>
            <w:fldChar w:fldCharType="separate"/>
          </w:r>
          <w:r>
            <w:rPr>
              <w:rFonts w:hint="eastAsia" w:ascii="宋体" w:hAnsi="宋体" w:eastAsia="宋体" w:cs="宋体"/>
              <w:sz w:val="24"/>
              <w:szCs w:val="24"/>
            </w:rPr>
            <w:t>1.2 地块环境调查资料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_Toc21480 \h </w:instrText>
          </w:r>
          <w:r>
            <w:rPr>
              <w:rFonts w:hint="eastAsia" w:ascii="宋体" w:hAnsi="宋体" w:eastAsia="宋体" w:cs="宋体"/>
              <w:sz w:val="24"/>
              <w:szCs w:val="24"/>
            </w:rPr>
            <w:fldChar w:fldCharType="separate"/>
          </w:r>
          <w:r>
            <w:rPr>
              <w:rFonts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"_Toc10466" </w:instrText>
          </w:r>
          <w:r>
            <w:fldChar w:fldCharType="separate"/>
          </w:r>
          <w:r>
            <w:rPr>
              <w:rFonts w:hint="eastAsia" w:ascii="宋体" w:hAnsi="宋体" w:eastAsia="宋体" w:cs="宋体"/>
              <w:sz w:val="24"/>
              <w:szCs w:val="24"/>
            </w:rPr>
            <w:t>1.3 确定关注污染物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_Toc10466 \h </w:instrText>
          </w:r>
          <w:r>
            <w:rPr>
              <w:rFonts w:hint="eastAsia" w:ascii="宋体" w:hAnsi="宋体" w:eastAsia="宋体" w:cs="宋体"/>
              <w:sz w:val="24"/>
              <w:szCs w:val="24"/>
            </w:rPr>
            <w:fldChar w:fldCharType="separate"/>
          </w:r>
          <w:r>
            <w:rPr>
              <w:rFonts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"_Toc3689" </w:instrText>
          </w:r>
          <w:r>
            <w:fldChar w:fldCharType="separate"/>
          </w:r>
          <w:r>
            <w:rPr>
              <w:rFonts w:hint="eastAsia" w:ascii="宋体" w:hAnsi="宋体" w:eastAsia="宋体" w:cs="宋体"/>
              <w:sz w:val="24"/>
              <w:szCs w:val="24"/>
            </w:rPr>
            <w:t>2 暴露评估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_Toc3689 \h </w:instrText>
          </w:r>
          <w:r>
            <w:rPr>
              <w:rFonts w:hint="eastAsia" w:ascii="宋体" w:hAnsi="宋体" w:eastAsia="宋体" w:cs="宋体"/>
              <w:sz w:val="24"/>
              <w:szCs w:val="24"/>
            </w:rPr>
            <w:fldChar w:fldCharType="separate"/>
          </w:r>
          <w:r>
            <w:rPr>
              <w:rFonts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"_Toc31586" </w:instrText>
          </w:r>
          <w:r>
            <w:fldChar w:fldCharType="separate"/>
          </w:r>
          <w:r>
            <w:rPr>
              <w:rFonts w:hint="eastAsia" w:ascii="宋体" w:hAnsi="宋体" w:eastAsia="宋体" w:cs="宋体"/>
              <w:sz w:val="24"/>
              <w:szCs w:val="24"/>
            </w:rPr>
            <w:t>2.1 暴露情景及暴露途径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_Toc31586 \h </w:instrText>
          </w:r>
          <w:r>
            <w:rPr>
              <w:rFonts w:hint="eastAsia" w:ascii="宋体" w:hAnsi="宋体" w:eastAsia="宋体" w:cs="宋体"/>
              <w:sz w:val="24"/>
              <w:szCs w:val="24"/>
            </w:rPr>
            <w:fldChar w:fldCharType="separate"/>
          </w:r>
          <w:r>
            <w:rPr>
              <w:rFonts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"_Toc15101" </w:instrText>
          </w:r>
          <w:r>
            <w:fldChar w:fldCharType="separate"/>
          </w:r>
          <w:r>
            <w:rPr>
              <w:rFonts w:hint="eastAsia" w:ascii="宋体" w:hAnsi="宋体" w:eastAsia="宋体" w:cs="宋体"/>
              <w:sz w:val="24"/>
              <w:szCs w:val="24"/>
            </w:rPr>
            <w:t>2.2 风险评估的参数选择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_Toc15101 \h </w:instrText>
          </w:r>
          <w:r>
            <w:rPr>
              <w:rFonts w:hint="eastAsia" w:ascii="宋体" w:hAnsi="宋体" w:eastAsia="宋体" w:cs="宋体"/>
              <w:sz w:val="24"/>
              <w:szCs w:val="24"/>
            </w:rPr>
            <w:fldChar w:fldCharType="separate"/>
          </w:r>
          <w:r>
            <w:rPr>
              <w:rFonts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"_Toc2825" </w:instrText>
          </w:r>
          <w:r>
            <w:fldChar w:fldCharType="separate"/>
          </w:r>
          <w:r>
            <w:rPr>
              <w:rFonts w:hint="eastAsia" w:ascii="宋体" w:hAnsi="宋体" w:eastAsia="宋体" w:cs="宋体"/>
              <w:sz w:val="24"/>
              <w:szCs w:val="24"/>
            </w:rPr>
            <w:t>2.3 暴露量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_Toc2825 \h </w:instrText>
          </w:r>
          <w:r>
            <w:rPr>
              <w:rFonts w:hint="eastAsia" w:ascii="宋体" w:hAnsi="宋体" w:eastAsia="宋体" w:cs="宋体"/>
              <w:sz w:val="24"/>
              <w:szCs w:val="24"/>
            </w:rPr>
            <w:fldChar w:fldCharType="separate"/>
          </w:r>
          <w:r>
            <w:rPr>
              <w:rFonts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"_Toc18170" </w:instrText>
          </w:r>
          <w:r>
            <w:fldChar w:fldCharType="separate"/>
          </w:r>
          <w:r>
            <w:rPr>
              <w:rFonts w:hint="eastAsia" w:ascii="宋体" w:hAnsi="宋体" w:eastAsia="宋体" w:cs="宋体"/>
              <w:sz w:val="24"/>
              <w:szCs w:val="24"/>
            </w:rPr>
            <w:t>3 毒性评估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_Toc18170 \h </w:instrText>
          </w:r>
          <w:r>
            <w:rPr>
              <w:rFonts w:hint="eastAsia" w:ascii="宋体" w:hAnsi="宋体" w:eastAsia="宋体" w:cs="宋体"/>
              <w:sz w:val="24"/>
              <w:szCs w:val="24"/>
            </w:rPr>
            <w:fldChar w:fldCharType="separate"/>
          </w:r>
          <w:r>
            <w:rPr>
              <w:rFonts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"_Toc17626" </w:instrText>
          </w:r>
          <w:r>
            <w:fldChar w:fldCharType="separate"/>
          </w:r>
          <w:r>
            <w:rPr>
              <w:rFonts w:hint="eastAsia" w:ascii="宋体" w:hAnsi="宋体" w:eastAsia="宋体" w:cs="宋体"/>
              <w:sz w:val="24"/>
              <w:szCs w:val="24"/>
            </w:rPr>
            <w:t>4 风险评估模型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_Toc17626 \h </w:instrText>
          </w:r>
          <w:r>
            <w:rPr>
              <w:rFonts w:hint="eastAsia" w:ascii="宋体" w:hAnsi="宋体" w:eastAsia="宋体" w:cs="宋体"/>
              <w:sz w:val="24"/>
              <w:szCs w:val="24"/>
            </w:rPr>
            <w:fldChar w:fldCharType="separate"/>
          </w:r>
          <w:r>
            <w:rPr>
              <w:rFonts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"_Toc21586" </w:instrText>
          </w:r>
          <w:r>
            <w:fldChar w:fldCharType="separate"/>
          </w:r>
          <w:r>
            <w:rPr>
              <w:rFonts w:hint="eastAsia" w:ascii="宋体" w:hAnsi="宋体" w:eastAsia="宋体" w:cs="宋体"/>
              <w:sz w:val="24"/>
              <w:szCs w:val="24"/>
            </w:rPr>
            <w:t>5 风险表征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_Toc21586 \h </w:instrText>
          </w:r>
          <w:r>
            <w:rPr>
              <w:rFonts w:hint="eastAsia" w:ascii="宋体" w:hAnsi="宋体" w:eastAsia="宋体" w:cs="宋体"/>
              <w:sz w:val="24"/>
              <w:szCs w:val="24"/>
            </w:rPr>
            <w:fldChar w:fldCharType="separate"/>
          </w:r>
          <w:r>
            <w:rPr>
              <w:rFonts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"_Toc28683" </w:instrText>
          </w:r>
          <w:r>
            <w:fldChar w:fldCharType="separate"/>
          </w:r>
          <w:r>
            <w:rPr>
              <w:rFonts w:hint="eastAsia" w:ascii="宋体" w:hAnsi="宋体" w:eastAsia="宋体" w:cs="宋体"/>
              <w:sz w:val="24"/>
              <w:szCs w:val="24"/>
            </w:rPr>
            <w:t>6 风险控制值</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_Toc28683 \h </w:instrText>
          </w:r>
          <w:r>
            <w:rPr>
              <w:rFonts w:hint="eastAsia" w:ascii="宋体" w:hAnsi="宋体" w:eastAsia="宋体" w:cs="宋体"/>
              <w:sz w:val="24"/>
              <w:szCs w:val="24"/>
            </w:rPr>
            <w:fldChar w:fldCharType="separate"/>
          </w:r>
          <w:r>
            <w:rPr>
              <w:rFonts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"_Toc20016" </w:instrText>
          </w:r>
          <w:r>
            <w:fldChar w:fldCharType="separate"/>
          </w:r>
          <w:r>
            <w:rPr>
              <w:rFonts w:hint="eastAsia" w:ascii="宋体" w:hAnsi="宋体" w:eastAsia="宋体" w:cs="宋体"/>
              <w:sz w:val="24"/>
              <w:szCs w:val="24"/>
            </w:rPr>
            <w:t>6.1 检出污染物在饮用水相关标准内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_Toc20016 \h </w:instrText>
          </w:r>
          <w:r>
            <w:rPr>
              <w:rFonts w:hint="eastAsia" w:ascii="宋体" w:hAnsi="宋体" w:eastAsia="宋体" w:cs="宋体"/>
              <w:sz w:val="24"/>
              <w:szCs w:val="24"/>
            </w:rPr>
            <w:fldChar w:fldCharType="separate"/>
          </w:r>
          <w:r>
            <w:rPr>
              <w:rFonts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"_Toc12482" </w:instrText>
          </w:r>
          <w:r>
            <w:fldChar w:fldCharType="separate"/>
          </w:r>
          <w:r>
            <w:rPr>
              <w:rFonts w:hint="eastAsia" w:ascii="宋体" w:hAnsi="宋体" w:eastAsia="宋体" w:cs="宋体"/>
              <w:sz w:val="24"/>
              <w:szCs w:val="24"/>
            </w:rPr>
            <w:t>6.2 检出污染物不在饮用水相关标准内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_Toc12482 \h </w:instrText>
          </w:r>
          <w:r>
            <w:rPr>
              <w:rFonts w:hint="eastAsia" w:ascii="宋体" w:hAnsi="宋体" w:eastAsia="宋体" w:cs="宋体"/>
              <w:sz w:val="24"/>
              <w:szCs w:val="24"/>
            </w:rPr>
            <w:fldChar w:fldCharType="separate"/>
          </w:r>
          <w:r>
            <w:rPr>
              <w:rFonts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"_Toc7993" </w:instrText>
          </w:r>
          <w:r>
            <w:fldChar w:fldCharType="separate"/>
          </w:r>
          <w:r>
            <w:rPr>
              <w:rFonts w:hint="eastAsia" w:ascii="宋体" w:hAnsi="宋体" w:eastAsia="宋体" w:cs="宋体"/>
              <w:sz w:val="24"/>
              <w:szCs w:val="24"/>
            </w:rPr>
            <w:t>7 风险管控和修复目标与范围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_Toc7993 \h </w:instrText>
          </w:r>
          <w:r>
            <w:rPr>
              <w:rFonts w:hint="eastAsia" w:ascii="宋体" w:hAnsi="宋体" w:eastAsia="宋体" w:cs="宋体"/>
              <w:sz w:val="24"/>
              <w:szCs w:val="24"/>
            </w:rPr>
            <w:fldChar w:fldCharType="separate"/>
          </w:r>
          <w:r>
            <w:rPr>
              <w:rFonts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"_Toc10690" </w:instrText>
          </w:r>
          <w:r>
            <w:fldChar w:fldCharType="separate"/>
          </w:r>
          <w:r>
            <w:rPr>
              <w:rFonts w:ascii="宋体" w:hAnsi="宋体" w:eastAsia="宋体" w:cs="宋体"/>
              <w:sz w:val="24"/>
              <w:szCs w:val="24"/>
            </w:rPr>
            <w:t xml:space="preserve">7.1 </w:t>
          </w:r>
          <w:r>
            <w:rPr>
              <w:rFonts w:hint="eastAsia" w:ascii="宋体" w:hAnsi="宋体" w:eastAsia="宋体" w:cs="宋体"/>
              <w:sz w:val="24"/>
              <w:szCs w:val="24"/>
            </w:rPr>
            <w:t>土壤风险管控和修复目标值</w:t>
          </w:r>
          <w:r>
            <w:rPr>
              <w:rFonts w:ascii="宋体" w:hAnsi="宋体" w:eastAsia="宋体" w:cs="宋体"/>
              <w:sz w:val="24"/>
              <w:szCs w:val="24"/>
            </w:rPr>
            <w:tab/>
          </w:r>
          <w:r>
            <w:rPr>
              <w:rFonts w:hint="eastAsia" w:ascii="宋体" w:hAnsi="宋体" w:eastAsia="宋体" w:cs="宋体"/>
              <w:sz w:val="24"/>
              <w:szCs w:val="24"/>
            </w:rPr>
            <w:fldChar w:fldCharType="begin"/>
          </w:r>
          <w:r>
            <w:rPr>
              <w:rFonts w:ascii="宋体" w:hAnsi="宋体" w:eastAsia="宋体" w:cs="宋体"/>
              <w:sz w:val="24"/>
              <w:szCs w:val="24"/>
            </w:rPr>
            <w:instrText xml:space="preserve"> PAGEREF _Toc10690 \h </w:instrText>
          </w:r>
          <w:r>
            <w:rPr>
              <w:rFonts w:hint="eastAsia" w:ascii="宋体" w:hAnsi="宋体" w:eastAsia="宋体" w:cs="宋体"/>
              <w:sz w:val="24"/>
              <w:szCs w:val="24"/>
            </w:rPr>
            <w:fldChar w:fldCharType="separate"/>
          </w:r>
          <w:r>
            <w:rPr>
              <w:rFonts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"_Toc32525" </w:instrText>
          </w:r>
          <w:r>
            <w:fldChar w:fldCharType="separate"/>
          </w:r>
          <w:r>
            <w:rPr>
              <w:rFonts w:ascii="宋体" w:hAnsi="宋体" w:eastAsia="宋体" w:cs="宋体"/>
              <w:sz w:val="24"/>
              <w:szCs w:val="24"/>
            </w:rPr>
            <w:t xml:space="preserve">7.2 </w:t>
          </w:r>
          <w:r>
            <w:rPr>
              <w:rFonts w:hint="eastAsia" w:ascii="宋体" w:hAnsi="宋体" w:eastAsia="宋体" w:cs="宋体"/>
              <w:sz w:val="24"/>
              <w:szCs w:val="24"/>
            </w:rPr>
            <w:t>地下水风险管控和修复目标值</w:t>
          </w:r>
          <w:r>
            <w:rPr>
              <w:rFonts w:ascii="宋体" w:hAnsi="宋体" w:eastAsia="宋体" w:cs="宋体"/>
              <w:sz w:val="24"/>
              <w:szCs w:val="24"/>
            </w:rPr>
            <w:tab/>
          </w:r>
          <w:r>
            <w:rPr>
              <w:rFonts w:hint="eastAsia" w:ascii="宋体" w:hAnsi="宋体" w:eastAsia="宋体" w:cs="宋体"/>
              <w:sz w:val="24"/>
              <w:szCs w:val="24"/>
            </w:rPr>
            <w:fldChar w:fldCharType="begin"/>
          </w:r>
          <w:r>
            <w:rPr>
              <w:rFonts w:ascii="宋体" w:hAnsi="宋体" w:eastAsia="宋体" w:cs="宋体"/>
              <w:sz w:val="24"/>
              <w:szCs w:val="24"/>
            </w:rPr>
            <w:instrText xml:space="preserve"> PAGEREF _Toc32525 \h </w:instrText>
          </w:r>
          <w:r>
            <w:rPr>
              <w:rFonts w:hint="eastAsia" w:ascii="宋体" w:hAnsi="宋体" w:eastAsia="宋体" w:cs="宋体"/>
              <w:sz w:val="24"/>
              <w:szCs w:val="24"/>
            </w:rPr>
            <w:fldChar w:fldCharType="separate"/>
          </w:r>
          <w:r>
            <w:rPr>
              <w:rFonts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"_Toc31850" </w:instrText>
          </w:r>
          <w:r>
            <w:fldChar w:fldCharType="separate"/>
          </w:r>
          <w:r>
            <w:rPr>
              <w:rFonts w:ascii="宋体" w:hAnsi="宋体" w:eastAsia="宋体" w:cs="宋体"/>
              <w:sz w:val="24"/>
              <w:szCs w:val="24"/>
            </w:rPr>
            <w:t xml:space="preserve">7.3 </w:t>
          </w:r>
          <w:r>
            <w:rPr>
              <w:rFonts w:hint="eastAsia" w:ascii="宋体" w:hAnsi="宋体" w:eastAsia="宋体" w:cs="宋体"/>
              <w:sz w:val="24"/>
              <w:szCs w:val="24"/>
            </w:rPr>
            <w:t>风险管控和修复范围</w:t>
          </w:r>
          <w:r>
            <w:rPr>
              <w:rFonts w:ascii="宋体" w:hAnsi="宋体" w:eastAsia="宋体" w:cs="宋体"/>
              <w:sz w:val="24"/>
              <w:szCs w:val="24"/>
            </w:rPr>
            <w:tab/>
          </w:r>
          <w:r>
            <w:rPr>
              <w:rFonts w:hint="eastAsia" w:ascii="宋体" w:hAnsi="宋体" w:eastAsia="宋体" w:cs="宋体"/>
              <w:sz w:val="24"/>
              <w:szCs w:val="24"/>
            </w:rPr>
            <w:fldChar w:fldCharType="begin"/>
          </w:r>
          <w:r>
            <w:rPr>
              <w:rFonts w:ascii="宋体" w:hAnsi="宋体" w:eastAsia="宋体" w:cs="宋体"/>
              <w:sz w:val="24"/>
              <w:szCs w:val="24"/>
            </w:rPr>
            <w:instrText xml:space="preserve"> PAGEREF _Toc31850 \h </w:instrText>
          </w:r>
          <w:r>
            <w:rPr>
              <w:rFonts w:hint="eastAsia" w:ascii="宋体" w:hAnsi="宋体" w:eastAsia="宋体" w:cs="宋体"/>
              <w:sz w:val="24"/>
              <w:szCs w:val="24"/>
            </w:rPr>
            <w:fldChar w:fldCharType="separate"/>
          </w:r>
          <w:r>
            <w:rPr>
              <w:rFonts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"_Toc14538" </w:instrText>
          </w:r>
          <w:r>
            <w:fldChar w:fldCharType="separate"/>
          </w:r>
          <w:r>
            <w:rPr>
              <w:rFonts w:hint="eastAsia" w:ascii="宋体" w:hAnsi="宋体" w:eastAsia="宋体" w:cs="宋体"/>
              <w:sz w:val="24"/>
              <w:szCs w:val="24"/>
            </w:rPr>
            <w:t>8 结论与建议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_Toc14538 \h </w:instrText>
          </w:r>
          <w:r>
            <w:rPr>
              <w:rFonts w:hint="eastAsia" w:ascii="宋体" w:hAnsi="宋体" w:eastAsia="宋体" w:cs="宋体"/>
              <w:sz w:val="24"/>
              <w:szCs w:val="24"/>
            </w:rPr>
            <w:fldChar w:fldCharType="separate"/>
          </w:r>
          <w:r>
            <w:rPr>
              <w:rFonts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tabs>
              <w:tab w:val="right" w:leader="dot" w:pos="8504"/>
            </w:tabs>
            <w:spacing w:line="390" w:lineRule="exact"/>
            <w:ind w:firstLine="0" w:firstLineChars="0"/>
            <w:jc w:val="left"/>
            <w:rPr>
              <w:rFonts w:ascii="宋体" w:hAnsi="宋体" w:eastAsia="宋体" w:cs="宋体"/>
              <w:sz w:val="24"/>
              <w:szCs w:val="24"/>
            </w:rPr>
          </w:pPr>
          <w:r>
            <w:fldChar w:fldCharType="begin"/>
          </w:r>
          <w:r>
            <w:instrText xml:space="preserve"> HYPERLINK \l "_Toc8624" </w:instrText>
          </w:r>
          <w:r>
            <w:fldChar w:fldCharType="separate"/>
          </w:r>
          <w:r>
            <w:rPr>
              <w:rFonts w:hint="eastAsia" w:ascii="宋体" w:hAnsi="宋体" w:eastAsia="宋体" w:cs="宋体"/>
              <w:sz w:val="24"/>
              <w:szCs w:val="24"/>
            </w:rPr>
            <w:t>第三章 建设用地土壤污染修复（含风险管控）效果评估报告审查技术要点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_Toc8624 \h </w:instrText>
          </w:r>
          <w:r>
            <w:rPr>
              <w:rFonts w:hint="eastAsia" w:ascii="宋体" w:hAnsi="宋体" w:eastAsia="宋体" w:cs="宋体"/>
              <w:sz w:val="24"/>
              <w:szCs w:val="24"/>
            </w:rPr>
            <w:fldChar w:fldCharType="separate"/>
          </w:r>
          <w:r>
            <w:rPr>
              <w:rFonts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"_Toc6808" </w:instrText>
          </w:r>
          <w:r>
            <w:fldChar w:fldCharType="separate"/>
          </w:r>
          <w:r>
            <w:rPr>
              <w:rFonts w:hint="eastAsia" w:ascii="宋体" w:hAnsi="宋体" w:eastAsia="宋体" w:cs="宋体"/>
              <w:sz w:val="24"/>
              <w:szCs w:val="24"/>
            </w:rPr>
            <w:t>1 修复效果评估审查要点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_Toc6808 \h </w:instrText>
          </w:r>
          <w:r>
            <w:rPr>
              <w:rFonts w:hint="eastAsia" w:ascii="宋体" w:hAnsi="宋体" w:eastAsia="宋体" w:cs="宋体"/>
              <w:sz w:val="24"/>
              <w:szCs w:val="24"/>
            </w:rPr>
            <w:fldChar w:fldCharType="separate"/>
          </w:r>
          <w:r>
            <w:rPr>
              <w:rFonts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"_Toc11270" </w:instrText>
          </w:r>
          <w:r>
            <w:fldChar w:fldCharType="separate"/>
          </w:r>
          <w:r>
            <w:rPr>
              <w:rFonts w:hint="eastAsia" w:ascii="宋体" w:hAnsi="宋体" w:eastAsia="宋体" w:cs="宋体"/>
              <w:sz w:val="24"/>
              <w:szCs w:val="24"/>
            </w:rPr>
            <w:t>1.1 效果评估监测程序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_Toc11270 \h </w:instrText>
          </w:r>
          <w:r>
            <w:rPr>
              <w:rFonts w:hint="eastAsia" w:ascii="宋体" w:hAnsi="宋体" w:eastAsia="宋体" w:cs="宋体"/>
              <w:sz w:val="24"/>
              <w:szCs w:val="24"/>
            </w:rPr>
            <w:fldChar w:fldCharType="separate"/>
          </w:r>
          <w:r>
            <w:rPr>
              <w:rFonts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"_Toc32382" </w:instrText>
          </w:r>
          <w:r>
            <w:fldChar w:fldCharType="separate"/>
          </w:r>
          <w:r>
            <w:rPr>
              <w:rFonts w:hint="eastAsia" w:ascii="宋体" w:hAnsi="宋体" w:eastAsia="宋体" w:cs="宋体"/>
              <w:sz w:val="24"/>
              <w:szCs w:val="24"/>
            </w:rPr>
            <w:t>1.2 效果评估监测范围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_Toc32382 \h </w:instrText>
          </w:r>
          <w:r>
            <w:rPr>
              <w:rFonts w:hint="eastAsia" w:ascii="宋体" w:hAnsi="宋体" w:eastAsia="宋体" w:cs="宋体"/>
              <w:sz w:val="24"/>
              <w:szCs w:val="24"/>
            </w:rPr>
            <w:fldChar w:fldCharType="separate"/>
          </w:r>
          <w:r>
            <w:rPr>
              <w:rFonts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"_Toc16707" </w:instrText>
          </w:r>
          <w:r>
            <w:fldChar w:fldCharType="separate"/>
          </w:r>
          <w:r>
            <w:rPr>
              <w:rFonts w:hint="eastAsia" w:ascii="宋体" w:hAnsi="宋体" w:eastAsia="宋体" w:cs="宋体"/>
              <w:sz w:val="24"/>
              <w:szCs w:val="24"/>
            </w:rPr>
            <w:t>1.3 效果评估监测介质与项目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_Toc16707 \h </w:instrText>
          </w:r>
          <w:r>
            <w:rPr>
              <w:rFonts w:hint="eastAsia" w:ascii="宋体" w:hAnsi="宋体" w:eastAsia="宋体" w:cs="宋体"/>
              <w:sz w:val="24"/>
              <w:szCs w:val="24"/>
            </w:rPr>
            <w:fldChar w:fldCharType="separate"/>
          </w:r>
          <w:r>
            <w:rPr>
              <w:rFonts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"_Toc7962" </w:instrText>
          </w:r>
          <w:r>
            <w:fldChar w:fldCharType="separate"/>
          </w:r>
          <w:r>
            <w:rPr>
              <w:rFonts w:hint="eastAsia" w:ascii="宋体" w:hAnsi="宋体" w:eastAsia="宋体" w:cs="宋体"/>
              <w:sz w:val="24"/>
              <w:szCs w:val="24"/>
            </w:rPr>
            <w:t>1.4 主体修复工程实施情况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_Toc7962 \h </w:instrText>
          </w:r>
          <w:r>
            <w:rPr>
              <w:rFonts w:hint="eastAsia" w:ascii="宋体" w:hAnsi="宋体" w:eastAsia="宋体" w:cs="宋体"/>
              <w:sz w:val="24"/>
              <w:szCs w:val="24"/>
            </w:rPr>
            <w:fldChar w:fldCharType="separate"/>
          </w:r>
          <w:r>
            <w:rPr>
              <w:rFonts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"_Toc21774" </w:instrText>
          </w:r>
          <w:r>
            <w:fldChar w:fldCharType="separate"/>
          </w:r>
          <w:r>
            <w:rPr>
              <w:rFonts w:hint="eastAsia" w:ascii="宋体" w:hAnsi="宋体" w:eastAsia="宋体" w:cs="宋体"/>
              <w:sz w:val="24"/>
              <w:szCs w:val="24"/>
            </w:rPr>
            <w:t>1.5 更新地块概念模型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_Toc21774 \h </w:instrText>
          </w:r>
          <w:r>
            <w:rPr>
              <w:rFonts w:hint="eastAsia" w:ascii="宋体" w:hAnsi="宋体" w:eastAsia="宋体" w:cs="宋体"/>
              <w:sz w:val="24"/>
              <w:szCs w:val="24"/>
            </w:rPr>
            <w:fldChar w:fldCharType="separate"/>
          </w:r>
          <w:r>
            <w:rPr>
              <w:rFonts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"_Toc16121" </w:instrText>
          </w:r>
          <w:r>
            <w:fldChar w:fldCharType="separate"/>
          </w:r>
          <w:r>
            <w:rPr>
              <w:rFonts w:hint="eastAsia" w:ascii="宋体" w:hAnsi="宋体" w:eastAsia="宋体" w:cs="宋体"/>
              <w:sz w:val="24"/>
              <w:szCs w:val="24"/>
            </w:rPr>
            <w:t>2 修复效果评估采样布点方法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_Toc16121 \h </w:instrText>
          </w:r>
          <w:r>
            <w:rPr>
              <w:rFonts w:hint="eastAsia" w:ascii="宋体" w:hAnsi="宋体" w:eastAsia="宋体" w:cs="宋体"/>
              <w:sz w:val="24"/>
              <w:szCs w:val="24"/>
            </w:rPr>
            <w:fldChar w:fldCharType="separate"/>
          </w:r>
          <w:r>
            <w:rPr>
              <w:rFonts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"_Toc12119" </w:instrText>
          </w:r>
          <w:r>
            <w:fldChar w:fldCharType="separate"/>
          </w:r>
          <w:r>
            <w:rPr>
              <w:rFonts w:hint="eastAsia" w:ascii="宋体" w:hAnsi="宋体" w:eastAsia="宋体" w:cs="宋体"/>
              <w:sz w:val="24"/>
              <w:szCs w:val="24"/>
            </w:rPr>
            <w:t>2.1 土壤采样布点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_Toc12119 \h </w:instrText>
          </w:r>
          <w:r>
            <w:rPr>
              <w:rFonts w:hint="eastAsia" w:ascii="宋体" w:hAnsi="宋体" w:eastAsia="宋体" w:cs="宋体"/>
              <w:sz w:val="24"/>
              <w:szCs w:val="24"/>
            </w:rPr>
            <w:fldChar w:fldCharType="separate"/>
          </w:r>
          <w:r>
            <w:rPr>
              <w:rFonts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"_Toc8077" </w:instrText>
          </w:r>
          <w:r>
            <w:fldChar w:fldCharType="separate"/>
          </w:r>
          <w:r>
            <w:rPr>
              <w:rFonts w:hint="eastAsia" w:ascii="宋体" w:hAnsi="宋体" w:eastAsia="宋体" w:cs="宋体"/>
              <w:sz w:val="24"/>
              <w:szCs w:val="24"/>
            </w:rPr>
            <w:t>2.2 地下水采样布点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_Toc8077 \h </w:instrText>
          </w:r>
          <w:r>
            <w:rPr>
              <w:rFonts w:hint="eastAsia" w:ascii="宋体" w:hAnsi="宋体" w:eastAsia="宋体" w:cs="宋体"/>
              <w:sz w:val="24"/>
              <w:szCs w:val="24"/>
            </w:rPr>
            <w:fldChar w:fldCharType="separate"/>
          </w:r>
          <w:r>
            <w:rPr>
              <w:rFonts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"_Toc26596" </w:instrText>
          </w:r>
          <w:r>
            <w:fldChar w:fldCharType="separate"/>
          </w:r>
          <w:r>
            <w:rPr>
              <w:rFonts w:hint="eastAsia" w:ascii="宋体" w:hAnsi="宋体" w:eastAsia="宋体" w:cs="宋体"/>
              <w:sz w:val="24"/>
              <w:szCs w:val="24"/>
            </w:rPr>
            <w:t>3 风险管控效果评估程序和采样布点方法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_Toc26596 \h </w:instrText>
          </w:r>
          <w:r>
            <w:rPr>
              <w:rFonts w:hint="eastAsia" w:ascii="宋体" w:hAnsi="宋体" w:eastAsia="宋体" w:cs="宋体"/>
              <w:sz w:val="24"/>
              <w:szCs w:val="24"/>
            </w:rPr>
            <w:fldChar w:fldCharType="separate"/>
          </w:r>
          <w:r>
            <w:rPr>
              <w:rFonts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"_Toc27942" </w:instrText>
          </w:r>
          <w:r>
            <w:fldChar w:fldCharType="separate"/>
          </w:r>
          <w:r>
            <w:rPr>
              <w:rFonts w:hint="eastAsia" w:ascii="宋体" w:hAnsi="宋体" w:eastAsia="宋体" w:cs="宋体"/>
              <w:sz w:val="24"/>
              <w:szCs w:val="24"/>
            </w:rPr>
            <w:t>3.1 风险管控工程实施效果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_Toc27942 \h </w:instrText>
          </w:r>
          <w:r>
            <w:rPr>
              <w:rFonts w:hint="eastAsia" w:ascii="宋体" w:hAnsi="宋体" w:eastAsia="宋体" w:cs="宋体"/>
              <w:sz w:val="24"/>
              <w:szCs w:val="24"/>
            </w:rPr>
            <w:fldChar w:fldCharType="separate"/>
          </w:r>
          <w:r>
            <w:rPr>
              <w:rFonts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"_Toc1789" </w:instrText>
          </w:r>
          <w:r>
            <w:fldChar w:fldCharType="separate"/>
          </w:r>
          <w:r>
            <w:rPr>
              <w:rFonts w:hint="eastAsia" w:ascii="宋体" w:hAnsi="宋体" w:eastAsia="宋体" w:cs="宋体"/>
              <w:sz w:val="24"/>
              <w:szCs w:val="24"/>
            </w:rPr>
            <w:t>3.2 风险管控效果评估采样布点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_Toc1789 \h </w:instrText>
          </w:r>
          <w:r>
            <w:rPr>
              <w:rFonts w:hint="eastAsia" w:ascii="宋体" w:hAnsi="宋体" w:eastAsia="宋体" w:cs="宋体"/>
              <w:sz w:val="24"/>
              <w:szCs w:val="24"/>
            </w:rPr>
            <w:fldChar w:fldCharType="separate"/>
          </w:r>
          <w:r>
            <w:rPr>
              <w:rFonts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"_Toc12114" </w:instrText>
          </w:r>
          <w:r>
            <w:fldChar w:fldCharType="separate"/>
          </w:r>
          <w:r>
            <w:rPr>
              <w:rFonts w:hint="eastAsia" w:ascii="宋体" w:hAnsi="宋体" w:eastAsia="宋体" w:cs="宋体"/>
              <w:sz w:val="24"/>
              <w:szCs w:val="24"/>
            </w:rPr>
            <w:t>4 现场采样与实验室检测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_Toc12114 \h </w:instrText>
          </w:r>
          <w:r>
            <w:rPr>
              <w:rFonts w:hint="eastAsia" w:ascii="宋体" w:hAnsi="宋体" w:eastAsia="宋体" w:cs="宋体"/>
              <w:sz w:val="24"/>
              <w:szCs w:val="24"/>
            </w:rPr>
            <w:fldChar w:fldCharType="separate"/>
          </w:r>
          <w:r>
            <w:rPr>
              <w:rFonts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"_Toc15544" </w:instrText>
          </w:r>
          <w:r>
            <w:fldChar w:fldCharType="separate"/>
          </w:r>
          <w:r>
            <w:rPr>
              <w:rFonts w:hint="eastAsia" w:ascii="宋体" w:hAnsi="宋体" w:eastAsia="宋体" w:cs="宋体"/>
              <w:sz w:val="24"/>
              <w:szCs w:val="24"/>
            </w:rPr>
            <w:t>4.1 现场采样要求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_Toc15544 \h </w:instrText>
          </w:r>
          <w:r>
            <w:rPr>
              <w:rFonts w:hint="eastAsia" w:ascii="宋体" w:hAnsi="宋体" w:eastAsia="宋体" w:cs="宋体"/>
              <w:sz w:val="24"/>
              <w:szCs w:val="24"/>
            </w:rPr>
            <w:fldChar w:fldCharType="separate"/>
          </w:r>
          <w:r>
            <w:rPr>
              <w:rFonts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"_Toc2441" </w:instrText>
          </w:r>
          <w:r>
            <w:fldChar w:fldCharType="separate"/>
          </w:r>
          <w:r>
            <w:rPr>
              <w:rFonts w:hint="eastAsia" w:ascii="宋体" w:hAnsi="宋体" w:eastAsia="宋体" w:cs="宋体"/>
              <w:sz w:val="24"/>
              <w:szCs w:val="24"/>
            </w:rPr>
            <w:t>4.2 检测指标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_Toc2441 \h </w:instrText>
          </w:r>
          <w:r>
            <w:rPr>
              <w:rFonts w:hint="eastAsia" w:ascii="宋体" w:hAnsi="宋体" w:eastAsia="宋体" w:cs="宋体"/>
              <w:sz w:val="24"/>
              <w:szCs w:val="24"/>
            </w:rPr>
            <w:fldChar w:fldCharType="separate"/>
          </w:r>
          <w:r>
            <w:rPr>
              <w:rFonts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"_Toc27515" </w:instrText>
          </w:r>
          <w:r>
            <w:fldChar w:fldCharType="separate"/>
          </w:r>
          <w:r>
            <w:rPr>
              <w:rFonts w:hint="eastAsia" w:ascii="宋体" w:hAnsi="宋体" w:eastAsia="宋体" w:cs="宋体"/>
              <w:sz w:val="24"/>
              <w:szCs w:val="24"/>
            </w:rPr>
            <w:t>4.3 实验室检测要求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_Toc27515 \h </w:instrText>
          </w:r>
          <w:r>
            <w:rPr>
              <w:rFonts w:hint="eastAsia" w:ascii="宋体" w:hAnsi="宋体" w:eastAsia="宋体" w:cs="宋体"/>
              <w:sz w:val="24"/>
              <w:szCs w:val="24"/>
            </w:rPr>
            <w:fldChar w:fldCharType="separate"/>
          </w:r>
          <w:r>
            <w:rPr>
              <w:rFonts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"_Toc13858" </w:instrText>
          </w:r>
          <w:r>
            <w:fldChar w:fldCharType="separate"/>
          </w:r>
          <w:r>
            <w:rPr>
              <w:rFonts w:hint="eastAsia" w:ascii="宋体" w:hAnsi="宋体" w:eastAsia="宋体" w:cs="宋体"/>
              <w:sz w:val="24"/>
              <w:szCs w:val="24"/>
            </w:rPr>
            <w:t>5 土壤修复效果评估方法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_Toc13858 \h </w:instrText>
          </w:r>
          <w:r>
            <w:rPr>
              <w:rFonts w:hint="eastAsia" w:ascii="宋体" w:hAnsi="宋体" w:eastAsia="宋体" w:cs="宋体"/>
              <w:sz w:val="24"/>
              <w:szCs w:val="24"/>
            </w:rPr>
            <w:fldChar w:fldCharType="separate"/>
          </w:r>
          <w:r>
            <w:rPr>
              <w:rFonts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"_Toc26537" </w:instrText>
          </w:r>
          <w:r>
            <w:fldChar w:fldCharType="separate"/>
          </w:r>
          <w:r>
            <w:rPr>
              <w:rFonts w:hint="eastAsia" w:ascii="宋体" w:hAnsi="宋体" w:eastAsia="宋体" w:cs="宋体"/>
              <w:sz w:val="24"/>
              <w:szCs w:val="24"/>
            </w:rPr>
            <w:t>5.1 评估标准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_Toc26537 \h </w:instrText>
          </w:r>
          <w:r>
            <w:rPr>
              <w:rFonts w:hint="eastAsia" w:ascii="宋体" w:hAnsi="宋体" w:eastAsia="宋体" w:cs="宋体"/>
              <w:sz w:val="24"/>
              <w:szCs w:val="24"/>
            </w:rPr>
            <w:fldChar w:fldCharType="separate"/>
          </w:r>
          <w:r>
            <w:rPr>
              <w:rFonts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"_Toc13777" </w:instrText>
          </w:r>
          <w:r>
            <w:fldChar w:fldCharType="separate"/>
          </w:r>
          <w:r>
            <w:rPr>
              <w:rFonts w:hint="eastAsia" w:ascii="宋体" w:hAnsi="宋体" w:eastAsia="宋体" w:cs="宋体"/>
              <w:sz w:val="24"/>
              <w:szCs w:val="24"/>
            </w:rPr>
            <w:t>5.2 评估方法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_Toc13777 \h </w:instrText>
          </w:r>
          <w:r>
            <w:rPr>
              <w:rFonts w:hint="eastAsia" w:ascii="宋体" w:hAnsi="宋体" w:eastAsia="宋体" w:cs="宋体"/>
              <w:sz w:val="24"/>
              <w:szCs w:val="24"/>
            </w:rPr>
            <w:fldChar w:fldCharType="separate"/>
          </w:r>
          <w:r>
            <w:rPr>
              <w:rFonts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"_Toc7572" </w:instrText>
          </w:r>
          <w:r>
            <w:fldChar w:fldCharType="separate"/>
          </w:r>
          <w:r>
            <w:rPr>
              <w:rFonts w:hint="eastAsia" w:ascii="宋体" w:hAnsi="宋体" w:eastAsia="宋体" w:cs="宋体"/>
              <w:sz w:val="24"/>
              <w:szCs w:val="24"/>
            </w:rPr>
            <w:t>6 地下水修复效果评估方法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_Toc7572 \h </w:instrText>
          </w:r>
          <w:r>
            <w:rPr>
              <w:rFonts w:hint="eastAsia" w:ascii="宋体" w:hAnsi="宋体" w:eastAsia="宋体" w:cs="宋体"/>
              <w:sz w:val="24"/>
              <w:szCs w:val="24"/>
            </w:rPr>
            <w:fldChar w:fldCharType="separate"/>
          </w:r>
          <w:r>
            <w:rPr>
              <w:rFonts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"_Toc16455" </w:instrText>
          </w:r>
          <w:r>
            <w:fldChar w:fldCharType="separate"/>
          </w:r>
          <w:r>
            <w:rPr>
              <w:rFonts w:hint="eastAsia" w:ascii="宋体" w:hAnsi="宋体" w:eastAsia="宋体" w:cs="宋体"/>
              <w:sz w:val="24"/>
              <w:szCs w:val="24"/>
            </w:rPr>
            <w:t>6.1 评估标准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_Toc16455 \h </w:instrText>
          </w:r>
          <w:r>
            <w:rPr>
              <w:rFonts w:hint="eastAsia" w:ascii="宋体" w:hAnsi="宋体" w:eastAsia="宋体" w:cs="宋体"/>
              <w:sz w:val="24"/>
              <w:szCs w:val="24"/>
            </w:rPr>
            <w:fldChar w:fldCharType="separate"/>
          </w:r>
          <w:r>
            <w:rPr>
              <w:rFonts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"_Toc6188" </w:instrText>
          </w:r>
          <w:r>
            <w:fldChar w:fldCharType="separate"/>
          </w:r>
          <w:r>
            <w:rPr>
              <w:rFonts w:hint="eastAsia" w:ascii="宋体" w:hAnsi="宋体" w:eastAsia="宋体" w:cs="宋体"/>
              <w:sz w:val="24"/>
              <w:szCs w:val="24"/>
            </w:rPr>
            <w:t>6.2 评估方法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_Toc6188 \h </w:instrText>
          </w:r>
          <w:r>
            <w:rPr>
              <w:rFonts w:hint="eastAsia" w:ascii="宋体" w:hAnsi="宋体" w:eastAsia="宋体" w:cs="宋体"/>
              <w:sz w:val="24"/>
              <w:szCs w:val="24"/>
            </w:rPr>
            <w:fldChar w:fldCharType="separate"/>
          </w:r>
          <w:r>
            <w:rPr>
              <w:rFonts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"_Toc9901" </w:instrText>
          </w:r>
          <w:r>
            <w:fldChar w:fldCharType="separate"/>
          </w:r>
          <w:r>
            <w:rPr>
              <w:rFonts w:hint="eastAsia" w:ascii="宋体" w:hAnsi="宋体" w:eastAsia="宋体" w:cs="宋体"/>
              <w:sz w:val="24"/>
              <w:szCs w:val="24"/>
            </w:rPr>
            <w:t>7 风险管控效果评估方法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_Toc9901 \h </w:instrText>
          </w:r>
          <w:r>
            <w:rPr>
              <w:rFonts w:hint="eastAsia" w:ascii="宋体" w:hAnsi="宋体" w:eastAsia="宋体" w:cs="宋体"/>
              <w:sz w:val="24"/>
              <w:szCs w:val="24"/>
            </w:rPr>
            <w:fldChar w:fldCharType="separate"/>
          </w:r>
          <w:r>
            <w:rPr>
              <w:rFonts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"_Toc30217" </w:instrText>
          </w:r>
          <w:r>
            <w:fldChar w:fldCharType="separate"/>
          </w:r>
          <w:r>
            <w:rPr>
              <w:rFonts w:hint="eastAsia" w:ascii="宋体" w:hAnsi="宋体" w:eastAsia="宋体" w:cs="宋体"/>
              <w:sz w:val="24"/>
              <w:szCs w:val="24"/>
            </w:rPr>
            <w:t>7.1 评估标准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_Toc30217 \h </w:instrText>
          </w:r>
          <w:r>
            <w:rPr>
              <w:rFonts w:hint="eastAsia" w:ascii="宋体" w:hAnsi="宋体" w:eastAsia="宋体" w:cs="宋体"/>
              <w:sz w:val="24"/>
              <w:szCs w:val="24"/>
            </w:rPr>
            <w:fldChar w:fldCharType="separate"/>
          </w:r>
          <w:r>
            <w:rPr>
              <w:rFonts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"_Toc7948" </w:instrText>
          </w:r>
          <w:r>
            <w:fldChar w:fldCharType="separate"/>
          </w:r>
          <w:r>
            <w:rPr>
              <w:rFonts w:hint="eastAsia" w:ascii="宋体" w:hAnsi="宋体" w:eastAsia="宋体" w:cs="宋体"/>
              <w:sz w:val="24"/>
              <w:szCs w:val="24"/>
            </w:rPr>
            <w:t>7.2 评估方法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_Toc7948 \h </w:instrText>
          </w:r>
          <w:r>
            <w:rPr>
              <w:rFonts w:hint="eastAsia" w:ascii="宋体" w:hAnsi="宋体" w:eastAsia="宋体" w:cs="宋体"/>
              <w:sz w:val="24"/>
              <w:szCs w:val="24"/>
            </w:rPr>
            <w:fldChar w:fldCharType="separate"/>
          </w:r>
          <w:r>
            <w:rPr>
              <w:rFonts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"_Toc1970" </w:instrText>
          </w:r>
          <w:r>
            <w:fldChar w:fldCharType="separate"/>
          </w:r>
          <w:r>
            <w:rPr>
              <w:rFonts w:hint="eastAsia" w:ascii="宋体" w:hAnsi="宋体" w:eastAsia="宋体" w:cs="宋体"/>
              <w:sz w:val="24"/>
              <w:szCs w:val="24"/>
            </w:rPr>
            <w:t>8 后期环境管理计划</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_Toc1970 \h </w:instrText>
          </w:r>
          <w:r>
            <w:rPr>
              <w:rFonts w:hint="eastAsia" w:ascii="宋体" w:hAnsi="宋体" w:eastAsia="宋体" w:cs="宋体"/>
              <w:sz w:val="24"/>
              <w:szCs w:val="24"/>
            </w:rPr>
            <w:fldChar w:fldCharType="separate"/>
          </w:r>
          <w:r>
            <w:rPr>
              <w:rFonts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"_Toc26593" </w:instrText>
          </w:r>
          <w:r>
            <w:fldChar w:fldCharType="separate"/>
          </w:r>
          <w:r>
            <w:rPr>
              <w:rFonts w:hint="eastAsia" w:ascii="宋体" w:hAnsi="宋体" w:eastAsia="宋体" w:cs="宋体"/>
              <w:sz w:val="24"/>
              <w:szCs w:val="24"/>
            </w:rPr>
            <w:t>9 结论与建议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_Toc26593 \h </w:instrText>
          </w:r>
          <w:r>
            <w:rPr>
              <w:rFonts w:hint="eastAsia" w:ascii="宋体" w:hAnsi="宋体" w:eastAsia="宋体" w:cs="宋体"/>
              <w:sz w:val="24"/>
              <w:szCs w:val="24"/>
            </w:rPr>
            <w:fldChar w:fldCharType="separate"/>
          </w:r>
          <w:r>
            <w:rPr>
              <w:rFonts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"_Toc28018" </w:instrText>
          </w:r>
          <w:r>
            <w:fldChar w:fldCharType="separate"/>
          </w:r>
          <w:r>
            <w:rPr>
              <w:rFonts w:hint="eastAsia" w:ascii="宋体" w:hAnsi="宋体" w:eastAsia="宋体" w:cs="宋体"/>
              <w:sz w:val="24"/>
              <w:szCs w:val="24"/>
            </w:rPr>
            <w:t>附件1 建设用地土壤污染状况调查报告编制大纲</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_Toc28018 \h </w:instrText>
          </w:r>
          <w:r>
            <w:rPr>
              <w:rFonts w:hint="eastAsia" w:ascii="宋体" w:hAnsi="宋体" w:eastAsia="宋体" w:cs="宋体"/>
              <w:sz w:val="24"/>
              <w:szCs w:val="24"/>
            </w:rPr>
            <w:fldChar w:fldCharType="separate"/>
          </w:r>
          <w:r>
            <w:rPr>
              <w:rFonts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"_Toc15237" </w:instrText>
          </w:r>
          <w:r>
            <w:fldChar w:fldCharType="separate"/>
          </w:r>
          <w:r>
            <w:rPr>
              <w:rFonts w:hint="eastAsia" w:ascii="宋体" w:hAnsi="宋体" w:eastAsia="宋体" w:cs="宋体"/>
              <w:sz w:val="24"/>
              <w:szCs w:val="24"/>
            </w:rPr>
            <w:t>附件2 建设用地土壤污染风险评估报告编制大纲</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_Toc15237 \h </w:instrText>
          </w:r>
          <w:r>
            <w:rPr>
              <w:rFonts w:hint="eastAsia" w:ascii="宋体" w:hAnsi="宋体" w:eastAsia="宋体" w:cs="宋体"/>
              <w:sz w:val="24"/>
              <w:szCs w:val="24"/>
            </w:rPr>
            <w:fldChar w:fldCharType="separate"/>
          </w:r>
          <w:r>
            <w:rPr>
              <w:rFonts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"_Toc9881" </w:instrText>
          </w:r>
          <w:r>
            <w:fldChar w:fldCharType="separate"/>
          </w:r>
          <w:r>
            <w:rPr>
              <w:rFonts w:hint="eastAsia" w:ascii="宋体" w:hAnsi="宋体" w:eastAsia="宋体" w:cs="宋体"/>
              <w:sz w:val="24"/>
              <w:szCs w:val="24"/>
            </w:rPr>
            <w:t>附件3 建设用地土壤污染修复（含风险管控）效果评估报告编制大纲</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_Toc9881 \h </w:instrText>
          </w:r>
          <w:r>
            <w:rPr>
              <w:rFonts w:hint="eastAsia" w:ascii="宋体" w:hAnsi="宋体" w:eastAsia="宋体" w:cs="宋体"/>
              <w:sz w:val="24"/>
              <w:szCs w:val="24"/>
            </w:rPr>
            <w:fldChar w:fldCharType="separate"/>
          </w:r>
          <w:r>
            <w:rPr>
              <w:rFonts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"_Toc19748" </w:instrText>
          </w:r>
          <w:r>
            <w:fldChar w:fldCharType="separate"/>
          </w:r>
          <w:r>
            <w:rPr>
              <w:rFonts w:hint="eastAsia" w:ascii="宋体" w:hAnsi="宋体" w:eastAsia="宋体" w:cs="宋体"/>
              <w:sz w:val="24"/>
              <w:szCs w:val="24"/>
            </w:rPr>
            <w:t>附表1 建设用地土壤污染状况调查报告审查评价表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_Toc19748 \h </w:instrText>
          </w:r>
          <w:r>
            <w:rPr>
              <w:rFonts w:hint="eastAsia" w:ascii="宋体" w:hAnsi="宋体" w:eastAsia="宋体" w:cs="宋体"/>
              <w:sz w:val="24"/>
              <w:szCs w:val="24"/>
            </w:rPr>
            <w:fldChar w:fldCharType="separate"/>
          </w:r>
          <w:r>
            <w:rPr>
              <w:rFonts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"_Toc7667" </w:instrText>
          </w:r>
          <w:r>
            <w:fldChar w:fldCharType="separate"/>
          </w:r>
          <w:r>
            <w:rPr>
              <w:rFonts w:hint="eastAsia" w:ascii="宋体" w:hAnsi="宋体" w:eastAsia="宋体" w:cs="宋体"/>
              <w:sz w:val="24"/>
              <w:szCs w:val="24"/>
            </w:rPr>
            <w:t>附表2 建设用地土壤污染状况风险评估报告审查评价表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_Toc7667 \h </w:instrText>
          </w:r>
          <w:r>
            <w:rPr>
              <w:rFonts w:hint="eastAsia" w:ascii="宋体" w:hAnsi="宋体" w:eastAsia="宋体" w:cs="宋体"/>
              <w:sz w:val="24"/>
              <w:szCs w:val="24"/>
            </w:rPr>
            <w:fldChar w:fldCharType="separate"/>
          </w:r>
          <w:r>
            <w:rPr>
              <w:rFonts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504"/>
            </w:tabs>
            <w:spacing w:line="390" w:lineRule="exact"/>
            <w:ind w:left="0" w:leftChars="0" w:firstLine="0" w:firstLineChars="0"/>
            <w:jc w:val="left"/>
            <w:rPr>
              <w:rFonts w:ascii="宋体" w:hAnsi="宋体" w:eastAsia="宋体" w:cs="宋体"/>
              <w:sz w:val="24"/>
              <w:szCs w:val="24"/>
            </w:rPr>
          </w:pPr>
          <w:r>
            <w:fldChar w:fldCharType="begin"/>
          </w:r>
          <w:r>
            <w:instrText xml:space="preserve"> HYPERLINK \l "_Toc30205" </w:instrText>
          </w:r>
          <w:r>
            <w:fldChar w:fldCharType="separate"/>
          </w:r>
          <w:r>
            <w:rPr>
              <w:rFonts w:hint="eastAsia" w:ascii="宋体" w:hAnsi="宋体" w:eastAsia="宋体" w:cs="宋体"/>
              <w:sz w:val="24"/>
              <w:szCs w:val="24"/>
            </w:rPr>
            <w:t>附表3 建设用地土壤污染修复（含风险管控）效果评估报告审查评价表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_Toc30205 \h </w:instrText>
          </w:r>
          <w:r>
            <w:rPr>
              <w:rFonts w:hint="eastAsia" w:ascii="宋体" w:hAnsi="宋体" w:eastAsia="宋体" w:cs="宋体"/>
              <w:sz w:val="24"/>
              <w:szCs w:val="24"/>
            </w:rPr>
            <w:fldChar w:fldCharType="separate"/>
          </w:r>
          <w:r>
            <w:rPr>
              <w:rFonts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9355"/>
            </w:tabs>
            <w:spacing w:line="390" w:lineRule="exact"/>
            <w:ind w:left="0" w:leftChars="0" w:firstLine="0" w:firstLineChars="0"/>
            <w:jc w:val="left"/>
            <w:rPr>
              <w:rFonts w:cs="Times New Roman"/>
            </w:rPr>
          </w:pPr>
          <w:r>
            <w:rPr>
              <w:rFonts w:hint="eastAsia" w:ascii="宋体" w:hAnsi="宋体" w:eastAsia="宋体" w:cs="宋体"/>
              <w:sz w:val="24"/>
              <w:szCs w:val="24"/>
            </w:rPr>
            <w:fldChar w:fldCharType="end"/>
          </w:r>
        </w:p>
      </w:sdtContent>
    </w:sdt>
    <w:p>
      <w:pPr>
        <w:pStyle w:val="64"/>
        <w:numPr>
          <w:ilvl w:val="255"/>
          <w:numId w:val="0"/>
        </w:numPr>
        <w:jc w:val="center"/>
        <w:rPr>
          <w:rStyle w:val="63"/>
          <w:rFonts w:ascii="Times New Roman"/>
          <w:sz w:val="32"/>
          <w:szCs w:val="32"/>
        </w:rPr>
        <w:sectPr>
          <w:footerReference r:id="rId11" w:type="default"/>
          <w:pgSz w:w="11906" w:h="16838"/>
          <w:pgMar w:top="1276" w:right="1701" w:bottom="1440" w:left="1701" w:header="851" w:footer="992" w:gutter="0"/>
          <w:pgNumType w:fmt="upperRoman" w:start="1"/>
          <w:cols w:space="425" w:num="1"/>
          <w:docGrid w:type="lines" w:linePitch="435" w:charSpace="0"/>
        </w:sectPr>
      </w:pPr>
      <w:bookmarkStart w:id="1" w:name="_Toc20346_WPSOffice_Level1"/>
    </w:p>
    <w:bookmarkEnd w:id="1"/>
    <w:p>
      <w:pPr>
        <w:spacing w:line="720" w:lineRule="auto"/>
        <w:ind w:firstLine="0" w:firstLineChars="0"/>
        <w:jc w:val="center"/>
        <w:outlineLvl w:val="0"/>
        <w:rPr>
          <w:rFonts w:eastAsia="黑体" w:cs="Times New Roman"/>
          <w:sz w:val="32"/>
          <w:szCs w:val="32"/>
        </w:rPr>
      </w:pPr>
      <w:bookmarkStart w:id="2" w:name="_Toc28186"/>
      <w:bookmarkStart w:id="3" w:name="_Toc12787_WPSOffice_Level1"/>
      <w:bookmarkStart w:id="4" w:name="_Toc22556"/>
      <w:r>
        <w:rPr>
          <w:rFonts w:eastAsia="黑体" w:cs="Times New Roman"/>
          <w:sz w:val="32"/>
          <w:szCs w:val="32"/>
        </w:rPr>
        <w:t>总   论</w:t>
      </w:r>
      <w:bookmarkEnd w:id="2"/>
      <w:bookmarkEnd w:id="3"/>
      <w:bookmarkEnd w:id="4"/>
    </w:p>
    <w:p>
      <w:pPr>
        <w:pStyle w:val="62"/>
        <w:tabs>
          <w:tab w:val="center" w:pos="4201"/>
          <w:tab w:val="right" w:leader="dot" w:pos="9298"/>
        </w:tabs>
        <w:spacing w:line="360" w:lineRule="exact"/>
        <w:rPr>
          <w:rStyle w:val="63"/>
          <w:rFonts w:ascii="Times New Roman"/>
        </w:rPr>
      </w:pPr>
      <w:r>
        <w:rPr>
          <w:rStyle w:val="63"/>
          <w:rFonts w:ascii="Times New Roman"/>
        </w:rPr>
        <w:t>依据《中华人民共和国土壤污染防治法》《污染地块土壤环境管理办法（试行）》</w:t>
      </w:r>
      <w:bookmarkStart w:id="5" w:name="_Hlk36820251"/>
      <w:r>
        <w:rPr>
          <w:rStyle w:val="63"/>
          <w:rFonts w:ascii="Times New Roman"/>
        </w:rPr>
        <w:t>和</w:t>
      </w:r>
      <w:bookmarkEnd w:id="5"/>
      <w:r>
        <w:rPr>
          <w:rStyle w:val="63"/>
          <w:rFonts w:ascii="Times New Roman"/>
        </w:rPr>
        <w:t>国家建设用地土壤污染状况调查、监测、风险评估、修复等技术导则、指南和规范，为进一步规范</w:t>
      </w:r>
      <w:r>
        <w:rPr>
          <w:rStyle w:val="63"/>
          <w:rFonts w:hint="eastAsia" w:ascii="Times New Roman"/>
        </w:rPr>
        <w:t>广西壮族自治区</w:t>
      </w:r>
      <w:r>
        <w:rPr>
          <w:rStyle w:val="63"/>
          <w:rFonts w:ascii="Times New Roman"/>
        </w:rPr>
        <w:t>建设用地土壤污染状况调查、风险评估及效果评估报告的技术审查工作，确保审查工作的规范性、客观性和准确性，制定本技术审查要点（以下简称“审查要点”）。</w:t>
      </w:r>
    </w:p>
    <w:p>
      <w:pPr>
        <w:pStyle w:val="3"/>
        <w:numPr>
          <w:ilvl w:val="0"/>
          <w:numId w:val="4"/>
        </w:numPr>
        <w:spacing w:before="240" w:after="240" w:line="360" w:lineRule="exact"/>
        <w:rPr>
          <w:rFonts w:cs="Times New Roman"/>
        </w:rPr>
      </w:pPr>
      <w:bookmarkStart w:id="6" w:name="_Toc26181"/>
      <w:bookmarkStart w:id="7" w:name="_Toc11046_WPSOffice_Level1"/>
      <w:bookmarkStart w:id="8" w:name="_Toc8796"/>
      <w:r>
        <w:rPr>
          <w:rFonts w:cs="Times New Roman"/>
        </w:rPr>
        <w:t>适用范围</w:t>
      </w:r>
      <w:bookmarkEnd w:id="6"/>
      <w:bookmarkEnd w:id="7"/>
      <w:bookmarkEnd w:id="8"/>
    </w:p>
    <w:p>
      <w:pPr>
        <w:pStyle w:val="62"/>
        <w:tabs>
          <w:tab w:val="center" w:pos="4201"/>
          <w:tab w:val="right" w:leader="dot" w:pos="9298"/>
        </w:tabs>
        <w:spacing w:line="360" w:lineRule="exact"/>
        <w:rPr>
          <w:rStyle w:val="63"/>
          <w:rFonts w:ascii="Times New Roman"/>
        </w:rPr>
      </w:pPr>
      <w:r>
        <w:rPr>
          <w:rStyle w:val="63"/>
          <w:rFonts w:ascii="Times New Roman"/>
        </w:rPr>
        <w:t>本审查要点</w:t>
      </w:r>
      <w:r>
        <w:rPr>
          <w:rStyle w:val="63"/>
          <w:rFonts w:hint="eastAsia" w:ascii="Times New Roman"/>
        </w:rPr>
        <w:t>适用于</w:t>
      </w:r>
      <w:r>
        <w:rPr>
          <w:rStyle w:val="63"/>
          <w:rFonts w:ascii="Times New Roman"/>
        </w:rPr>
        <w:t>广西壮族自治区建设用地土壤污染状况调查报告、风险评估报告和修复（含风险管控）效果评估报告等的技术审查。</w:t>
      </w:r>
    </w:p>
    <w:p>
      <w:pPr>
        <w:pStyle w:val="62"/>
        <w:tabs>
          <w:tab w:val="center" w:pos="4201"/>
          <w:tab w:val="right" w:leader="dot" w:pos="9298"/>
        </w:tabs>
        <w:spacing w:line="360" w:lineRule="exact"/>
        <w:rPr>
          <w:rStyle w:val="63"/>
          <w:rFonts w:ascii="Times New Roman"/>
        </w:rPr>
      </w:pPr>
      <w:r>
        <w:rPr>
          <w:rStyle w:val="63"/>
          <w:rFonts w:ascii="Times New Roman"/>
        </w:rPr>
        <w:t>本审查要点供建设用地土壤污染风险管控和修复相关管理部门、评审专家、从业单位及相关人员使用。</w:t>
      </w:r>
    </w:p>
    <w:p>
      <w:pPr>
        <w:pStyle w:val="62"/>
        <w:tabs>
          <w:tab w:val="center" w:pos="4201"/>
          <w:tab w:val="right" w:leader="dot" w:pos="9298"/>
        </w:tabs>
        <w:spacing w:line="360" w:lineRule="exact"/>
        <w:rPr>
          <w:rStyle w:val="63"/>
          <w:rFonts w:ascii="Times New Roman"/>
        </w:rPr>
      </w:pPr>
      <w:r>
        <w:rPr>
          <w:rStyle w:val="63"/>
          <w:rFonts w:ascii="Times New Roman"/>
        </w:rPr>
        <w:t>本审查要点不适用于含有放射性物质污染与致病性生物污染的建设用地土壤污染风险管控和修复相关报告的审查。</w:t>
      </w:r>
    </w:p>
    <w:p>
      <w:pPr>
        <w:pStyle w:val="3"/>
        <w:numPr>
          <w:ilvl w:val="0"/>
          <w:numId w:val="4"/>
        </w:numPr>
        <w:spacing w:before="240" w:after="240" w:line="360" w:lineRule="exact"/>
        <w:rPr>
          <w:rFonts w:cs="Times New Roman"/>
        </w:rPr>
      </w:pPr>
      <w:bookmarkStart w:id="9" w:name="_Toc15238"/>
      <w:bookmarkStart w:id="10" w:name="_Toc3361"/>
      <w:bookmarkStart w:id="11" w:name="_Toc5002_WPSOffice_Level1"/>
      <w:r>
        <w:rPr>
          <w:rFonts w:cs="Times New Roman"/>
        </w:rPr>
        <w:t>编制与参考依据</w:t>
      </w:r>
      <w:bookmarkEnd w:id="9"/>
      <w:bookmarkEnd w:id="10"/>
      <w:bookmarkEnd w:id="11"/>
    </w:p>
    <w:p>
      <w:pPr>
        <w:pStyle w:val="62"/>
        <w:tabs>
          <w:tab w:val="center" w:pos="4201"/>
          <w:tab w:val="right" w:leader="dot" w:pos="9298"/>
        </w:tabs>
        <w:spacing w:line="360" w:lineRule="exact"/>
        <w:rPr>
          <w:rStyle w:val="63"/>
          <w:rFonts w:ascii="Times New Roman"/>
        </w:rPr>
      </w:pPr>
      <w:r>
        <w:rPr>
          <w:rStyle w:val="63"/>
          <w:rFonts w:ascii="Times New Roman"/>
        </w:rPr>
        <w:t>本审查要点引用了下列文件中的条款。凡是不注明日期的引用文件，其有效版本适用于本审查要点。国家如发布新的指南、导则，则按照国家新发布的要求执行。</w:t>
      </w:r>
    </w:p>
    <w:p>
      <w:pPr>
        <w:pStyle w:val="62"/>
        <w:tabs>
          <w:tab w:val="center" w:pos="4201"/>
          <w:tab w:val="right" w:leader="dot" w:pos="9298"/>
        </w:tabs>
        <w:spacing w:line="360" w:lineRule="exact"/>
        <w:rPr>
          <w:rStyle w:val="63"/>
          <w:rFonts w:ascii="Times New Roman"/>
        </w:rPr>
      </w:pPr>
      <w:r>
        <w:rPr>
          <w:rStyle w:val="63"/>
          <w:rFonts w:ascii="Times New Roman"/>
        </w:rPr>
        <w:t>HJ 25.1  建设用地土壤污染状况调查技术导则</w:t>
      </w:r>
    </w:p>
    <w:p>
      <w:pPr>
        <w:pStyle w:val="62"/>
        <w:tabs>
          <w:tab w:val="center" w:pos="4201"/>
          <w:tab w:val="right" w:leader="dot" w:pos="9298"/>
        </w:tabs>
        <w:spacing w:line="360" w:lineRule="exact"/>
        <w:rPr>
          <w:rStyle w:val="63"/>
          <w:rFonts w:ascii="Times New Roman"/>
        </w:rPr>
      </w:pPr>
      <w:r>
        <w:rPr>
          <w:rStyle w:val="63"/>
          <w:rFonts w:ascii="Times New Roman"/>
        </w:rPr>
        <w:t>HJ 25.2  建设用地土壤污染风险管控和修复监测技术导则</w:t>
      </w:r>
    </w:p>
    <w:p>
      <w:pPr>
        <w:pStyle w:val="62"/>
        <w:tabs>
          <w:tab w:val="center" w:pos="4201"/>
          <w:tab w:val="right" w:leader="dot" w:pos="9298"/>
        </w:tabs>
        <w:spacing w:line="360" w:lineRule="exact"/>
        <w:rPr>
          <w:rStyle w:val="63"/>
          <w:rFonts w:ascii="Times New Roman"/>
        </w:rPr>
      </w:pPr>
      <w:r>
        <w:rPr>
          <w:rStyle w:val="63"/>
          <w:rFonts w:ascii="Times New Roman"/>
        </w:rPr>
        <w:t>HJ 25.3  建设用地土壤污染风险评估技术导则</w:t>
      </w:r>
    </w:p>
    <w:p>
      <w:pPr>
        <w:pStyle w:val="62"/>
        <w:tabs>
          <w:tab w:val="center" w:pos="4201"/>
          <w:tab w:val="right" w:leader="dot" w:pos="9298"/>
        </w:tabs>
        <w:spacing w:line="360" w:lineRule="exact"/>
        <w:rPr>
          <w:rStyle w:val="63"/>
          <w:rFonts w:ascii="Times New Roman"/>
        </w:rPr>
      </w:pPr>
      <w:r>
        <w:rPr>
          <w:rStyle w:val="63"/>
          <w:rFonts w:ascii="Times New Roman"/>
        </w:rPr>
        <w:t>HJ 25.4  建设用地土壤修复技术导则</w:t>
      </w:r>
    </w:p>
    <w:p>
      <w:pPr>
        <w:pStyle w:val="62"/>
        <w:tabs>
          <w:tab w:val="center" w:pos="4201"/>
          <w:tab w:val="right" w:leader="dot" w:pos="9298"/>
        </w:tabs>
        <w:spacing w:line="360" w:lineRule="exact"/>
        <w:rPr>
          <w:rStyle w:val="63"/>
          <w:rFonts w:ascii="Times New Roman"/>
        </w:rPr>
      </w:pPr>
      <w:r>
        <w:rPr>
          <w:rStyle w:val="63"/>
          <w:rFonts w:ascii="Times New Roman"/>
        </w:rPr>
        <w:t>HJ 25.5  污染地块风险管控与土壤修复效果评估技术导则（试行）</w:t>
      </w:r>
    </w:p>
    <w:p>
      <w:pPr>
        <w:pStyle w:val="62"/>
        <w:tabs>
          <w:tab w:val="center" w:pos="4201"/>
          <w:tab w:val="right" w:leader="dot" w:pos="9298"/>
        </w:tabs>
        <w:spacing w:line="360" w:lineRule="exact"/>
        <w:rPr>
          <w:rStyle w:val="63"/>
          <w:rFonts w:ascii="Times New Roman"/>
        </w:rPr>
      </w:pPr>
      <w:r>
        <w:rPr>
          <w:rStyle w:val="63"/>
          <w:rFonts w:ascii="Times New Roman"/>
        </w:rPr>
        <w:t>HJ 25.6  污染地块地下水修复和风险管控技术导则</w:t>
      </w:r>
    </w:p>
    <w:p>
      <w:pPr>
        <w:pStyle w:val="62"/>
        <w:tabs>
          <w:tab w:val="center" w:pos="4201"/>
          <w:tab w:val="right" w:leader="dot" w:pos="9298"/>
        </w:tabs>
        <w:spacing w:line="360" w:lineRule="exact"/>
        <w:rPr>
          <w:rStyle w:val="63"/>
          <w:rFonts w:ascii="Times New Roman"/>
        </w:rPr>
      </w:pPr>
      <w:r>
        <w:rPr>
          <w:rStyle w:val="63"/>
          <w:rFonts w:ascii="Times New Roman"/>
        </w:rPr>
        <w:t>GB 36600  土壤环境质量 建设用地土壤污染风险管控标准（试行）</w:t>
      </w:r>
    </w:p>
    <w:p>
      <w:pPr>
        <w:pStyle w:val="62"/>
        <w:tabs>
          <w:tab w:val="center" w:pos="4201"/>
          <w:tab w:val="right" w:leader="dot" w:pos="9298"/>
        </w:tabs>
        <w:spacing w:line="360" w:lineRule="exact"/>
        <w:rPr>
          <w:rStyle w:val="63"/>
          <w:rFonts w:ascii="Times New Roman"/>
        </w:rPr>
      </w:pPr>
      <w:r>
        <w:rPr>
          <w:rStyle w:val="63"/>
          <w:rFonts w:ascii="Times New Roman"/>
        </w:rPr>
        <w:t>GB/T 14848  地下水质量标准</w:t>
      </w:r>
    </w:p>
    <w:p>
      <w:pPr>
        <w:pStyle w:val="62"/>
        <w:tabs>
          <w:tab w:val="center" w:pos="4201"/>
          <w:tab w:val="right" w:leader="dot" w:pos="9298"/>
        </w:tabs>
        <w:spacing w:line="360" w:lineRule="exact"/>
        <w:rPr>
          <w:rStyle w:val="63"/>
          <w:rFonts w:ascii="Times New Roman"/>
        </w:rPr>
      </w:pPr>
      <w:r>
        <w:rPr>
          <w:rStyle w:val="63"/>
          <w:rFonts w:ascii="Times New Roman"/>
        </w:rPr>
        <w:t>GB 5749  生活饮用水卫生标准</w:t>
      </w:r>
    </w:p>
    <w:p>
      <w:pPr>
        <w:pStyle w:val="62"/>
        <w:tabs>
          <w:tab w:val="center" w:pos="4201"/>
          <w:tab w:val="right" w:leader="dot" w:pos="9298"/>
        </w:tabs>
        <w:spacing w:line="360" w:lineRule="exact"/>
        <w:rPr>
          <w:rStyle w:val="63"/>
          <w:rFonts w:ascii="Times New Roman"/>
        </w:rPr>
      </w:pPr>
      <w:r>
        <w:rPr>
          <w:rStyle w:val="63"/>
          <w:rFonts w:ascii="Times New Roman"/>
        </w:rPr>
        <w:t>GB 3838  地表水环境质量标准</w:t>
      </w:r>
    </w:p>
    <w:p>
      <w:pPr>
        <w:pStyle w:val="62"/>
        <w:tabs>
          <w:tab w:val="center" w:pos="4201"/>
          <w:tab w:val="right" w:leader="dot" w:pos="9298"/>
        </w:tabs>
        <w:spacing w:line="360" w:lineRule="exact"/>
        <w:rPr>
          <w:rStyle w:val="63"/>
          <w:rFonts w:ascii="Times New Roman"/>
        </w:rPr>
      </w:pPr>
      <w:r>
        <w:rPr>
          <w:rStyle w:val="63"/>
          <w:rFonts w:ascii="Times New Roman"/>
        </w:rPr>
        <w:t>HJ/T 166  土壤环境监测技术规范</w:t>
      </w:r>
    </w:p>
    <w:p>
      <w:pPr>
        <w:pStyle w:val="62"/>
        <w:tabs>
          <w:tab w:val="center" w:pos="4201"/>
          <w:tab w:val="right" w:leader="dot" w:pos="9298"/>
        </w:tabs>
        <w:spacing w:line="360" w:lineRule="exact"/>
        <w:rPr>
          <w:rStyle w:val="63"/>
          <w:rFonts w:ascii="Times New Roman"/>
        </w:rPr>
      </w:pPr>
      <w:r>
        <w:rPr>
          <w:rStyle w:val="63"/>
          <w:rFonts w:ascii="Times New Roman"/>
        </w:rPr>
        <w:t>HJ/T 164  地下水环境监测技术规范</w:t>
      </w:r>
    </w:p>
    <w:p>
      <w:pPr>
        <w:pStyle w:val="62"/>
        <w:tabs>
          <w:tab w:val="center" w:pos="4201"/>
          <w:tab w:val="right" w:leader="dot" w:pos="9298"/>
        </w:tabs>
        <w:spacing w:line="360" w:lineRule="exact"/>
        <w:rPr>
          <w:rStyle w:val="63"/>
          <w:rFonts w:ascii="Times New Roman"/>
        </w:rPr>
      </w:pPr>
      <w:r>
        <w:rPr>
          <w:rStyle w:val="63"/>
          <w:rFonts w:ascii="Times New Roman"/>
        </w:rPr>
        <w:t>HJ 1019  地块土壤和地下水中挥发性有机物采样技术导则</w:t>
      </w:r>
    </w:p>
    <w:p>
      <w:pPr>
        <w:pStyle w:val="62"/>
        <w:tabs>
          <w:tab w:val="center" w:pos="4201"/>
          <w:tab w:val="right" w:leader="dot" w:pos="9298"/>
        </w:tabs>
        <w:spacing w:line="360" w:lineRule="exact"/>
        <w:rPr>
          <w:rStyle w:val="63"/>
          <w:rFonts w:ascii="Times New Roman"/>
        </w:rPr>
      </w:pPr>
      <w:r>
        <w:rPr>
          <w:rStyle w:val="63"/>
          <w:rFonts w:ascii="Times New Roman"/>
        </w:rPr>
        <w:t>HJ 605  土壤和沉积物 挥发性有机物的测定 吹扫捕集 气相色谱-质谱法</w:t>
      </w:r>
    </w:p>
    <w:p>
      <w:pPr>
        <w:pStyle w:val="62"/>
        <w:tabs>
          <w:tab w:val="center" w:pos="4201"/>
          <w:tab w:val="right" w:leader="dot" w:pos="9298"/>
        </w:tabs>
        <w:spacing w:line="360" w:lineRule="exact"/>
        <w:rPr>
          <w:rStyle w:val="63"/>
          <w:rFonts w:ascii="Times New Roman"/>
        </w:rPr>
      </w:pPr>
      <w:r>
        <w:rPr>
          <w:rStyle w:val="63"/>
          <w:rFonts w:ascii="Times New Roman"/>
        </w:rPr>
        <w:t>HJ 834  土壤和沉积物 半挥发性有机物的测定 气相色谱-质谱法</w:t>
      </w:r>
    </w:p>
    <w:p>
      <w:pPr>
        <w:pStyle w:val="62"/>
        <w:tabs>
          <w:tab w:val="center" w:pos="4201"/>
          <w:tab w:val="right" w:leader="dot" w:pos="9298"/>
        </w:tabs>
        <w:spacing w:line="360" w:lineRule="exact"/>
        <w:rPr>
          <w:rStyle w:val="63"/>
          <w:rFonts w:ascii="Times New Roman"/>
        </w:rPr>
      </w:pPr>
      <w:r>
        <w:rPr>
          <w:rStyle w:val="63"/>
          <w:rFonts w:ascii="Times New Roman"/>
        </w:rPr>
        <w:t>HJ/T 298  危险废物鉴别技术规范</w:t>
      </w:r>
    </w:p>
    <w:p>
      <w:pPr>
        <w:pStyle w:val="62"/>
        <w:tabs>
          <w:tab w:val="center" w:pos="4201"/>
          <w:tab w:val="right" w:leader="dot" w:pos="9298"/>
        </w:tabs>
        <w:spacing w:line="360" w:lineRule="exact"/>
        <w:rPr>
          <w:rStyle w:val="63"/>
          <w:rFonts w:ascii="Times New Roman"/>
        </w:rPr>
      </w:pPr>
      <w:r>
        <w:rPr>
          <w:rStyle w:val="63"/>
          <w:rFonts w:ascii="Times New Roman"/>
        </w:rPr>
        <w:t>HJ/T 20  工业固体废物采样制样技术规范</w:t>
      </w:r>
    </w:p>
    <w:p>
      <w:pPr>
        <w:pStyle w:val="62"/>
        <w:tabs>
          <w:tab w:val="center" w:pos="4201"/>
          <w:tab w:val="right" w:leader="dot" w:pos="9298"/>
        </w:tabs>
        <w:spacing w:line="360" w:lineRule="exact"/>
        <w:rPr>
          <w:rStyle w:val="63"/>
          <w:rFonts w:ascii="Times New Roman"/>
        </w:rPr>
      </w:pPr>
      <w:r>
        <w:rPr>
          <w:rStyle w:val="63"/>
          <w:rFonts w:ascii="Times New Roman"/>
        </w:rPr>
        <w:t>GB 34330  固体废物鉴别标准通则</w:t>
      </w:r>
    </w:p>
    <w:p>
      <w:pPr>
        <w:pStyle w:val="62"/>
        <w:tabs>
          <w:tab w:val="center" w:pos="4201"/>
          <w:tab w:val="right" w:leader="dot" w:pos="9298"/>
        </w:tabs>
        <w:spacing w:line="360" w:lineRule="exact"/>
        <w:rPr>
          <w:rStyle w:val="63"/>
          <w:rFonts w:ascii="Times New Roman"/>
        </w:rPr>
      </w:pPr>
      <w:r>
        <w:rPr>
          <w:rStyle w:val="63"/>
          <w:rFonts w:ascii="Times New Roman"/>
        </w:rPr>
        <w:t>GB 5085.7  危险废物鉴别标准通则</w:t>
      </w:r>
    </w:p>
    <w:p>
      <w:pPr>
        <w:pStyle w:val="62"/>
        <w:tabs>
          <w:tab w:val="center" w:pos="4201"/>
          <w:tab w:val="right" w:leader="dot" w:pos="9298"/>
        </w:tabs>
        <w:spacing w:line="360" w:lineRule="exact"/>
        <w:rPr>
          <w:rStyle w:val="63"/>
          <w:rFonts w:ascii="Times New Roman"/>
        </w:rPr>
      </w:pPr>
      <w:r>
        <w:rPr>
          <w:rStyle w:val="63"/>
          <w:rFonts w:ascii="Times New Roman"/>
        </w:rPr>
        <w:t>《中华人民共和国土壤污染防治法》</w:t>
      </w:r>
    </w:p>
    <w:p>
      <w:pPr>
        <w:pStyle w:val="62"/>
        <w:tabs>
          <w:tab w:val="center" w:pos="4201"/>
          <w:tab w:val="right" w:leader="dot" w:pos="9298"/>
        </w:tabs>
        <w:spacing w:line="360" w:lineRule="exact"/>
        <w:rPr>
          <w:rStyle w:val="63"/>
          <w:rFonts w:ascii="Times New Roman"/>
        </w:rPr>
      </w:pPr>
      <w:r>
        <w:rPr>
          <w:rStyle w:val="63"/>
          <w:rFonts w:ascii="Times New Roman"/>
        </w:rPr>
        <w:t>《污染地块土壤环境管理办法（试行）》</w:t>
      </w:r>
    </w:p>
    <w:p>
      <w:pPr>
        <w:pStyle w:val="62"/>
        <w:tabs>
          <w:tab w:val="center" w:pos="4201"/>
          <w:tab w:val="right" w:leader="dot" w:pos="9298"/>
        </w:tabs>
        <w:spacing w:line="360" w:lineRule="exact"/>
        <w:rPr>
          <w:rStyle w:val="63"/>
          <w:rFonts w:ascii="Times New Roman"/>
        </w:rPr>
      </w:pPr>
      <w:r>
        <w:rPr>
          <w:rStyle w:val="63"/>
          <w:rFonts w:ascii="Times New Roman"/>
        </w:rPr>
        <w:t>《建设用地土壤污染状况调查、风险评估、风险管控及修复效果评估报告评审指南》</w:t>
      </w:r>
    </w:p>
    <w:p>
      <w:pPr>
        <w:pStyle w:val="62"/>
        <w:tabs>
          <w:tab w:val="center" w:pos="4201"/>
          <w:tab w:val="right" w:leader="dot" w:pos="9298"/>
        </w:tabs>
        <w:spacing w:line="360" w:lineRule="exact"/>
        <w:rPr>
          <w:rStyle w:val="63"/>
          <w:rFonts w:ascii="Times New Roman"/>
        </w:rPr>
      </w:pPr>
      <w:r>
        <w:rPr>
          <w:rStyle w:val="63"/>
          <w:rFonts w:ascii="Times New Roman"/>
        </w:rPr>
        <w:t>《建设用地土壤环境调查评估技术指南》</w:t>
      </w:r>
    </w:p>
    <w:p>
      <w:pPr>
        <w:pStyle w:val="62"/>
        <w:tabs>
          <w:tab w:val="center" w:pos="4201"/>
          <w:tab w:val="right" w:leader="dot" w:pos="9298"/>
        </w:tabs>
        <w:spacing w:line="360" w:lineRule="exact"/>
        <w:rPr>
          <w:rStyle w:val="63"/>
          <w:rFonts w:ascii="Times New Roman"/>
        </w:rPr>
      </w:pPr>
      <w:r>
        <w:rPr>
          <w:rStyle w:val="63"/>
          <w:rFonts w:ascii="Times New Roman"/>
        </w:rPr>
        <w:t>《地下水环境状况调查评价工作指南》</w:t>
      </w:r>
    </w:p>
    <w:p>
      <w:pPr>
        <w:pStyle w:val="62"/>
        <w:tabs>
          <w:tab w:val="center" w:pos="4201"/>
          <w:tab w:val="right" w:leader="dot" w:pos="9298"/>
        </w:tabs>
        <w:spacing w:line="360" w:lineRule="exact"/>
        <w:rPr>
          <w:rStyle w:val="63"/>
          <w:rFonts w:ascii="Times New Roman"/>
        </w:rPr>
      </w:pPr>
      <w:r>
        <w:rPr>
          <w:rStyle w:val="63"/>
          <w:rFonts w:ascii="Times New Roman"/>
        </w:rPr>
        <w:t>《地下水污染健康风险评估工作指南》</w:t>
      </w:r>
    </w:p>
    <w:p>
      <w:pPr>
        <w:pStyle w:val="3"/>
        <w:numPr>
          <w:ilvl w:val="0"/>
          <w:numId w:val="4"/>
        </w:numPr>
        <w:spacing w:before="240" w:after="240" w:line="360" w:lineRule="exact"/>
        <w:rPr>
          <w:rFonts w:cs="Times New Roman"/>
        </w:rPr>
      </w:pPr>
      <w:bookmarkStart w:id="12" w:name="_Toc21030"/>
      <w:bookmarkStart w:id="13" w:name="_Toc9427_WPSOffice_Level1"/>
      <w:bookmarkStart w:id="14" w:name="_Toc7158"/>
      <w:r>
        <w:rPr>
          <w:rFonts w:cs="Times New Roman"/>
        </w:rPr>
        <w:t>形式要求</w:t>
      </w:r>
      <w:bookmarkEnd w:id="12"/>
      <w:bookmarkEnd w:id="13"/>
      <w:bookmarkEnd w:id="14"/>
    </w:p>
    <w:p>
      <w:pPr>
        <w:pStyle w:val="62"/>
        <w:tabs>
          <w:tab w:val="center" w:pos="4201"/>
          <w:tab w:val="right" w:leader="dot" w:pos="9298"/>
        </w:tabs>
        <w:spacing w:line="360" w:lineRule="exact"/>
        <w:rPr>
          <w:rStyle w:val="63"/>
          <w:rFonts w:ascii="Times New Roman"/>
        </w:rPr>
      </w:pPr>
      <w:bookmarkStart w:id="15" w:name="_Hlk39651224"/>
      <w:r>
        <w:rPr>
          <w:rStyle w:val="63"/>
          <w:rFonts w:ascii="Times New Roman"/>
        </w:rPr>
        <w:t>送审报告应加盖地块报告编制单位和评审申请人（或土壤污染责任人）的公章。</w:t>
      </w:r>
    </w:p>
    <w:bookmarkEnd w:id="15"/>
    <w:p>
      <w:pPr>
        <w:pStyle w:val="62"/>
        <w:tabs>
          <w:tab w:val="center" w:pos="4201"/>
          <w:tab w:val="right" w:leader="dot" w:pos="9298"/>
        </w:tabs>
        <w:spacing w:line="360" w:lineRule="exact"/>
        <w:rPr>
          <w:rStyle w:val="63"/>
          <w:rFonts w:ascii="Times New Roman"/>
        </w:rPr>
      </w:pPr>
      <w:r>
        <w:rPr>
          <w:rStyle w:val="63"/>
          <w:rFonts w:ascii="Times New Roman"/>
        </w:rPr>
        <w:t>送审报告应附具报告从业人员名单页，明确项目负责人和编制人员名单及其分工，应明确报告审核和审定人员并签字确认。</w:t>
      </w:r>
    </w:p>
    <w:p>
      <w:pPr>
        <w:pStyle w:val="62"/>
        <w:tabs>
          <w:tab w:val="center" w:pos="4201"/>
          <w:tab w:val="right" w:leader="dot" w:pos="9298"/>
        </w:tabs>
        <w:spacing w:line="360" w:lineRule="exact"/>
        <w:rPr>
          <w:rStyle w:val="63"/>
          <w:rFonts w:ascii="Times New Roman"/>
        </w:rPr>
      </w:pPr>
      <w:r>
        <w:rPr>
          <w:rStyle w:val="63"/>
          <w:rFonts w:ascii="Times New Roman"/>
        </w:rPr>
        <w:t>送审报告中有关地块边界、范围（含土壤及地下水污染范围）等矢量数据应采用2000国家大地坐标系。</w:t>
      </w:r>
    </w:p>
    <w:p>
      <w:pPr>
        <w:pStyle w:val="62"/>
        <w:tabs>
          <w:tab w:val="center" w:pos="4201"/>
          <w:tab w:val="right" w:leader="dot" w:pos="9298"/>
        </w:tabs>
        <w:spacing w:line="360" w:lineRule="exact"/>
        <w:rPr>
          <w:rStyle w:val="63"/>
          <w:rFonts w:ascii="Times New Roman"/>
        </w:rPr>
      </w:pPr>
      <w:r>
        <w:rPr>
          <w:rStyle w:val="63"/>
          <w:rFonts w:ascii="Times New Roman"/>
        </w:rPr>
        <w:t>申请评审报告及备案报告应及时上传全国污染地块土壤环境管理信息系统。</w:t>
      </w:r>
    </w:p>
    <w:p>
      <w:pPr>
        <w:pStyle w:val="3"/>
        <w:numPr>
          <w:ilvl w:val="0"/>
          <w:numId w:val="4"/>
        </w:numPr>
        <w:spacing w:before="240" w:after="240" w:line="360" w:lineRule="exact"/>
        <w:rPr>
          <w:rFonts w:cs="Times New Roman"/>
        </w:rPr>
      </w:pPr>
      <w:bookmarkStart w:id="16" w:name="_Toc32332_WPSOffice_Level1"/>
      <w:bookmarkStart w:id="17" w:name="_Toc7193"/>
      <w:bookmarkStart w:id="18" w:name="_Toc16104"/>
      <w:r>
        <w:rPr>
          <w:rFonts w:cs="Times New Roman"/>
        </w:rPr>
        <w:t>报告编制大纲</w:t>
      </w:r>
      <w:bookmarkEnd w:id="16"/>
      <w:bookmarkEnd w:id="17"/>
      <w:bookmarkEnd w:id="18"/>
    </w:p>
    <w:p>
      <w:pPr>
        <w:pStyle w:val="62"/>
        <w:tabs>
          <w:tab w:val="center" w:pos="4201"/>
          <w:tab w:val="right" w:leader="dot" w:pos="9298"/>
        </w:tabs>
        <w:spacing w:line="360" w:lineRule="exact"/>
        <w:rPr>
          <w:rStyle w:val="63"/>
          <w:rFonts w:ascii="Times New Roman"/>
        </w:rPr>
      </w:pPr>
      <w:r>
        <w:rPr>
          <w:rStyle w:val="63"/>
          <w:rFonts w:ascii="Times New Roman"/>
        </w:rPr>
        <w:t>建设用地土壤污染风险管控和修复相关报告编制大纲参照附件1</w:t>
      </w:r>
      <w:r>
        <w:rPr>
          <w:rStyle w:val="63"/>
          <w:rFonts w:hint="eastAsia" w:ascii="Times New Roman"/>
        </w:rPr>
        <w:t>-3</w:t>
      </w:r>
      <w:r>
        <w:rPr>
          <w:rStyle w:val="63"/>
          <w:rFonts w:ascii="Times New Roman"/>
        </w:rPr>
        <w:t>。</w:t>
      </w:r>
    </w:p>
    <w:p>
      <w:pPr>
        <w:pStyle w:val="3"/>
        <w:numPr>
          <w:ilvl w:val="0"/>
          <w:numId w:val="4"/>
        </w:numPr>
        <w:spacing w:before="240" w:after="240" w:line="360" w:lineRule="exact"/>
        <w:rPr>
          <w:rFonts w:cs="Times New Roman"/>
        </w:rPr>
      </w:pPr>
      <w:bookmarkStart w:id="19" w:name="_Toc6835"/>
      <w:bookmarkStart w:id="20" w:name="_Toc17360_WPSOffice_Level1"/>
      <w:bookmarkStart w:id="21" w:name="_Toc14394"/>
      <w:r>
        <w:rPr>
          <w:rFonts w:cs="Times New Roman"/>
        </w:rPr>
        <w:t>报告审查评价表</w:t>
      </w:r>
      <w:bookmarkEnd w:id="19"/>
      <w:bookmarkEnd w:id="20"/>
      <w:bookmarkEnd w:id="21"/>
    </w:p>
    <w:p>
      <w:pPr>
        <w:pStyle w:val="62"/>
        <w:tabs>
          <w:tab w:val="center" w:pos="4201"/>
          <w:tab w:val="right" w:leader="dot" w:pos="9298"/>
        </w:tabs>
        <w:spacing w:line="360" w:lineRule="exact"/>
        <w:rPr>
          <w:rStyle w:val="63"/>
          <w:rFonts w:ascii="Times New Roman"/>
        </w:rPr>
      </w:pPr>
      <w:r>
        <w:rPr>
          <w:rStyle w:val="63"/>
          <w:rFonts w:ascii="Times New Roman"/>
        </w:rPr>
        <w:t>土壤污染状况调查报告、风险评估报告和修复（含风险管控）效果评估报告审查评价表见附</w:t>
      </w:r>
      <w:r>
        <w:rPr>
          <w:rStyle w:val="63"/>
          <w:rFonts w:hint="eastAsia" w:ascii="Times New Roman"/>
        </w:rPr>
        <w:t>表1-3</w:t>
      </w:r>
      <w:r>
        <w:rPr>
          <w:rStyle w:val="63"/>
          <w:rFonts w:ascii="Times New Roman"/>
        </w:rPr>
        <w:t>。</w:t>
      </w:r>
    </w:p>
    <w:p>
      <w:pPr>
        <w:adjustRightInd w:val="0"/>
        <w:spacing w:line="360" w:lineRule="exact"/>
        <w:ind w:firstLine="560"/>
        <w:rPr>
          <w:rFonts w:cs="Times New Roman"/>
          <w:szCs w:val="30"/>
        </w:rPr>
      </w:pPr>
    </w:p>
    <w:p>
      <w:pPr>
        <w:adjustRightInd w:val="0"/>
        <w:spacing w:line="360" w:lineRule="exact"/>
        <w:ind w:firstLine="198" w:firstLineChars="71"/>
        <w:rPr>
          <w:rFonts w:cs="Times New Roman"/>
          <w:szCs w:val="30"/>
        </w:rPr>
        <w:sectPr>
          <w:footerReference r:id="rId12" w:type="default"/>
          <w:pgSz w:w="11906" w:h="16838"/>
          <w:pgMar w:top="1276" w:right="1701" w:bottom="1440" w:left="1701" w:header="851" w:footer="992" w:gutter="0"/>
          <w:pgNumType w:start="1"/>
          <w:cols w:space="425" w:num="1"/>
          <w:docGrid w:type="lines" w:linePitch="435" w:charSpace="0"/>
        </w:sectPr>
      </w:pPr>
    </w:p>
    <w:p>
      <w:pPr>
        <w:spacing w:line="720" w:lineRule="auto"/>
        <w:ind w:firstLine="0" w:firstLineChars="0"/>
        <w:jc w:val="center"/>
        <w:outlineLvl w:val="0"/>
        <w:rPr>
          <w:rFonts w:eastAsia="黑体" w:cs="Times New Roman"/>
          <w:sz w:val="32"/>
          <w:szCs w:val="32"/>
        </w:rPr>
      </w:pPr>
      <w:bookmarkStart w:id="22" w:name="_Toc20394_WPSOffice_Level1"/>
      <w:bookmarkStart w:id="23" w:name="_Toc19355"/>
      <w:bookmarkStart w:id="24" w:name="_Toc24738"/>
      <w:bookmarkStart w:id="25" w:name="_Hlk38353841"/>
      <w:r>
        <w:rPr>
          <w:rFonts w:eastAsia="黑体" w:cs="Times New Roman"/>
          <w:sz w:val="32"/>
          <w:szCs w:val="32"/>
        </w:rPr>
        <w:t>第一章 建设用地土壤污染状况调查</w:t>
      </w:r>
      <w:r>
        <w:rPr>
          <w:rFonts w:hint="eastAsia" w:eastAsia="黑体" w:cs="Times New Roman"/>
          <w:sz w:val="32"/>
          <w:szCs w:val="32"/>
        </w:rPr>
        <w:t>报告</w:t>
      </w:r>
      <w:r>
        <w:rPr>
          <w:rFonts w:eastAsia="黑体" w:cs="Times New Roman"/>
          <w:sz w:val="32"/>
          <w:szCs w:val="32"/>
        </w:rPr>
        <w:t>审查技术要点</w:t>
      </w:r>
      <w:bookmarkEnd w:id="22"/>
      <w:bookmarkEnd w:id="23"/>
      <w:bookmarkEnd w:id="24"/>
    </w:p>
    <w:bookmarkEnd w:id="25"/>
    <w:p>
      <w:pPr>
        <w:pStyle w:val="3"/>
        <w:numPr>
          <w:ilvl w:val="0"/>
          <w:numId w:val="5"/>
        </w:numPr>
        <w:tabs>
          <w:tab w:val="left" w:pos="420"/>
        </w:tabs>
        <w:spacing w:before="240" w:after="240" w:line="360" w:lineRule="exact"/>
        <w:rPr>
          <w:rFonts w:cs="Times New Roman"/>
        </w:rPr>
      </w:pPr>
      <w:bookmarkStart w:id="26" w:name="_Toc6431"/>
      <w:bookmarkStart w:id="27" w:name="_Toc19797"/>
      <w:r>
        <w:rPr>
          <w:rFonts w:cs="Times New Roman"/>
        </w:rPr>
        <w:t>第一阶段土壤污染状况调查</w:t>
      </w:r>
      <w:bookmarkEnd w:id="26"/>
      <w:bookmarkEnd w:id="27"/>
    </w:p>
    <w:p>
      <w:pPr>
        <w:pStyle w:val="3"/>
        <w:numPr>
          <w:ilvl w:val="1"/>
          <w:numId w:val="6"/>
        </w:numPr>
        <w:spacing w:before="120" w:after="120" w:line="360" w:lineRule="exact"/>
        <w:rPr>
          <w:rFonts w:cs="Times New Roman"/>
        </w:rPr>
      </w:pPr>
      <w:bookmarkStart w:id="28" w:name="_Toc7372"/>
      <w:bookmarkStart w:id="29" w:name="_Toc11369"/>
      <w:r>
        <w:rPr>
          <w:rFonts w:cs="Times New Roman"/>
        </w:rPr>
        <w:t>资料收集</w:t>
      </w:r>
      <w:bookmarkEnd w:id="28"/>
      <w:bookmarkEnd w:id="29"/>
      <w:r>
        <w:rPr>
          <w:rFonts w:cs="Times New Roman"/>
        </w:rPr>
        <w:t xml:space="preserve"> </w:t>
      </w:r>
    </w:p>
    <w:p>
      <w:pPr>
        <w:pStyle w:val="62"/>
        <w:tabs>
          <w:tab w:val="center" w:pos="4201"/>
          <w:tab w:val="right" w:leader="dot" w:pos="9298"/>
        </w:tabs>
        <w:spacing w:line="360" w:lineRule="exact"/>
        <w:rPr>
          <w:rStyle w:val="63"/>
          <w:rFonts w:ascii="Times New Roman"/>
        </w:rPr>
      </w:pPr>
      <w:r>
        <w:rPr>
          <w:rStyle w:val="63"/>
          <w:rFonts w:ascii="Times New Roman"/>
        </w:rPr>
        <w:t>收集、分析地块历史与现状基础资料，重点内容包括但不限于：</w:t>
      </w:r>
    </w:p>
    <w:p>
      <w:pPr>
        <w:pStyle w:val="62"/>
        <w:tabs>
          <w:tab w:val="center" w:pos="4201"/>
          <w:tab w:val="right" w:leader="dot" w:pos="9298"/>
        </w:tabs>
        <w:spacing w:line="360" w:lineRule="exact"/>
        <w:rPr>
          <w:rStyle w:val="63"/>
          <w:rFonts w:ascii="Times New Roman"/>
        </w:rPr>
      </w:pPr>
      <w:r>
        <w:rPr>
          <w:rStyle w:val="63"/>
          <w:rFonts w:ascii="Times New Roman"/>
        </w:rPr>
        <w:t>（1）土地使用历史、使用现状和规划资料；</w:t>
      </w:r>
    </w:p>
    <w:p>
      <w:pPr>
        <w:pStyle w:val="62"/>
        <w:tabs>
          <w:tab w:val="center" w:pos="4201"/>
          <w:tab w:val="right" w:leader="dot" w:pos="9298"/>
        </w:tabs>
        <w:spacing w:line="360" w:lineRule="exact"/>
        <w:rPr>
          <w:rStyle w:val="63"/>
          <w:rFonts w:ascii="Times New Roman"/>
        </w:rPr>
      </w:pPr>
      <w:r>
        <w:rPr>
          <w:rStyle w:val="63"/>
          <w:rFonts w:ascii="Times New Roman"/>
        </w:rPr>
        <w:t>（2）企业主要产品、原辅材料及中间体清单；</w:t>
      </w:r>
    </w:p>
    <w:p>
      <w:pPr>
        <w:pStyle w:val="62"/>
        <w:tabs>
          <w:tab w:val="center" w:pos="4201"/>
          <w:tab w:val="right" w:leader="dot" w:pos="9298"/>
        </w:tabs>
        <w:spacing w:line="360" w:lineRule="exact"/>
        <w:rPr>
          <w:rStyle w:val="63"/>
          <w:rFonts w:ascii="Times New Roman"/>
        </w:rPr>
      </w:pPr>
      <w:r>
        <w:rPr>
          <w:rStyle w:val="63"/>
          <w:rFonts w:ascii="Times New Roman"/>
        </w:rPr>
        <w:t>（3）主要生产工艺流程及产排污环节；</w:t>
      </w:r>
    </w:p>
    <w:p>
      <w:pPr>
        <w:pStyle w:val="62"/>
        <w:tabs>
          <w:tab w:val="center" w:pos="4201"/>
          <w:tab w:val="right" w:leader="dot" w:pos="9298"/>
        </w:tabs>
        <w:spacing w:line="360" w:lineRule="exact"/>
        <w:rPr>
          <w:rStyle w:val="63"/>
          <w:rFonts w:ascii="Times New Roman"/>
        </w:rPr>
      </w:pPr>
      <w:r>
        <w:rPr>
          <w:rStyle w:val="63"/>
          <w:rFonts w:ascii="Times New Roman"/>
        </w:rPr>
        <w:t>（4）危废产量及使用量、固体废物储存量及使用量；</w:t>
      </w:r>
    </w:p>
    <w:p>
      <w:pPr>
        <w:pStyle w:val="62"/>
        <w:tabs>
          <w:tab w:val="center" w:pos="4201"/>
          <w:tab w:val="right" w:leader="dot" w:pos="9298"/>
        </w:tabs>
        <w:spacing w:line="360" w:lineRule="exact"/>
        <w:rPr>
          <w:rStyle w:val="63"/>
          <w:rFonts w:ascii="Times New Roman"/>
        </w:rPr>
      </w:pPr>
      <w:r>
        <w:rPr>
          <w:rStyle w:val="63"/>
          <w:rFonts w:ascii="Times New Roman"/>
        </w:rPr>
        <w:t>（5）历史上倾倒、泄漏等环境污染事故发生情况；</w:t>
      </w:r>
    </w:p>
    <w:p>
      <w:pPr>
        <w:pStyle w:val="62"/>
        <w:tabs>
          <w:tab w:val="center" w:pos="4201"/>
          <w:tab w:val="right" w:leader="dot" w:pos="9298"/>
        </w:tabs>
        <w:spacing w:line="360" w:lineRule="exact"/>
        <w:rPr>
          <w:rStyle w:val="63"/>
          <w:rFonts w:ascii="Times New Roman"/>
        </w:rPr>
      </w:pPr>
      <w:r>
        <w:rPr>
          <w:rStyle w:val="63"/>
          <w:rFonts w:ascii="Times New Roman"/>
        </w:rPr>
        <w:t>（6）平面布置图、地上及地下罐槽、管线图；</w:t>
      </w:r>
    </w:p>
    <w:p>
      <w:pPr>
        <w:pStyle w:val="62"/>
        <w:tabs>
          <w:tab w:val="center" w:pos="4201"/>
          <w:tab w:val="right" w:leader="dot" w:pos="9298"/>
        </w:tabs>
        <w:spacing w:line="360" w:lineRule="exact"/>
        <w:rPr>
          <w:rStyle w:val="63"/>
          <w:rFonts w:ascii="Times New Roman"/>
        </w:rPr>
      </w:pPr>
      <w:r>
        <w:rPr>
          <w:rStyle w:val="63"/>
          <w:rFonts w:ascii="Times New Roman"/>
        </w:rPr>
        <w:t>（7）污染治理设施及污染物排放情况；</w:t>
      </w:r>
    </w:p>
    <w:p>
      <w:pPr>
        <w:pStyle w:val="62"/>
        <w:tabs>
          <w:tab w:val="center" w:pos="4201"/>
          <w:tab w:val="right" w:leader="dot" w:pos="9298"/>
        </w:tabs>
        <w:spacing w:line="360" w:lineRule="exact"/>
        <w:rPr>
          <w:rStyle w:val="63"/>
          <w:rFonts w:ascii="Times New Roman"/>
        </w:rPr>
      </w:pPr>
      <w:r>
        <w:rPr>
          <w:rStyle w:val="63"/>
          <w:rFonts w:ascii="Times New Roman"/>
        </w:rPr>
        <w:t>（8）环境监测数据、环境影响评价报告书或表；</w:t>
      </w:r>
    </w:p>
    <w:p>
      <w:pPr>
        <w:pStyle w:val="62"/>
        <w:tabs>
          <w:tab w:val="center" w:pos="4201"/>
          <w:tab w:val="right" w:leader="dot" w:pos="9298"/>
        </w:tabs>
        <w:spacing w:line="360" w:lineRule="exact"/>
        <w:rPr>
          <w:rStyle w:val="63"/>
          <w:rFonts w:ascii="Times New Roman"/>
        </w:rPr>
      </w:pPr>
      <w:r>
        <w:rPr>
          <w:rStyle w:val="63"/>
          <w:rFonts w:ascii="Times New Roman"/>
        </w:rPr>
        <w:t>（9）地块周边环境敏感目标及位置关系。</w:t>
      </w:r>
    </w:p>
    <w:p>
      <w:pPr>
        <w:pStyle w:val="3"/>
        <w:numPr>
          <w:ilvl w:val="1"/>
          <w:numId w:val="6"/>
        </w:numPr>
        <w:spacing w:before="120" w:after="120" w:line="360" w:lineRule="exact"/>
        <w:rPr>
          <w:rFonts w:cs="Times New Roman"/>
        </w:rPr>
      </w:pPr>
      <w:bookmarkStart w:id="30" w:name="_Toc15761"/>
      <w:bookmarkStart w:id="31" w:name="_Toc901"/>
      <w:r>
        <w:rPr>
          <w:rFonts w:cs="Times New Roman"/>
        </w:rPr>
        <w:t>现场踏勘</w:t>
      </w:r>
      <w:bookmarkEnd w:id="30"/>
      <w:bookmarkEnd w:id="31"/>
    </w:p>
    <w:p>
      <w:pPr>
        <w:pStyle w:val="62"/>
        <w:tabs>
          <w:tab w:val="center" w:pos="4201"/>
          <w:tab w:val="right" w:leader="dot" w:pos="9298"/>
        </w:tabs>
        <w:spacing w:line="360" w:lineRule="exact"/>
        <w:rPr>
          <w:rStyle w:val="63"/>
          <w:rFonts w:ascii="Times New Roman"/>
        </w:rPr>
      </w:pPr>
      <w:r>
        <w:rPr>
          <w:rStyle w:val="63"/>
          <w:rFonts w:ascii="Times New Roman"/>
        </w:rPr>
        <w:t xml:space="preserve">现场踏勘的重点内容应包括： </w:t>
      </w:r>
    </w:p>
    <w:p>
      <w:pPr>
        <w:pStyle w:val="62"/>
        <w:tabs>
          <w:tab w:val="center" w:pos="4201"/>
          <w:tab w:val="right" w:leader="dot" w:pos="9298"/>
        </w:tabs>
        <w:spacing w:line="360" w:lineRule="exact"/>
        <w:rPr>
          <w:rStyle w:val="63"/>
          <w:rFonts w:ascii="Times New Roman"/>
        </w:rPr>
      </w:pPr>
      <w:r>
        <w:rPr>
          <w:rStyle w:val="63"/>
          <w:rFonts w:ascii="Times New Roman"/>
        </w:rPr>
        <w:t>（1）有毒有害物质的使用、储存、处理、处置场所现状；</w:t>
      </w:r>
    </w:p>
    <w:p>
      <w:pPr>
        <w:pStyle w:val="62"/>
        <w:tabs>
          <w:tab w:val="center" w:pos="4201"/>
          <w:tab w:val="right" w:leader="dot" w:pos="9298"/>
        </w:tabs>
        <w:spacing w:line="360" w:lineRule="exact"/>
        <w:rPr>
          <w:rStyle w:val="63"/>
          <w:rFonts w:ascii="Times New Roman"/>
        </w:rPr>
      </w:pPr>
      <w:r>
        <w:rPr>
          <w:rStyle w:val="63"/>
          <w:rFonts w:ascii="Times New Roman"/>
        </w:rPr>
        <w:t>（2）生产过程和设备、储槽与管线现状；</w:t>
      </w:r>
    </w:p>
    <w:p>
      <w:pPr>
        <w:pStyle w:val="62"/>
        <w:tabs>
          <w:tab w:val="center" w:pos="4201"/>
          <w:tab w:val="right" w:leader="dot" w:pos="9298"/>
        </w:tabs>
        <w:spacing w:line="360" w:lineRule="exact"/>
        <w:rPr>
          <w:rStyle w:val="63"/>
          <w:rFonts w:ascii="Times New Roman"/>
        </w:rPr>
      </w:pPr>
      <w:r>
        <w:rPr>
          <w:rStyle w:val="63"/>
          <w:rFonts w:ascii="Times New Roman"/>
        </w:rPr>
        <w:t>（3）</w:t>
      </w:r>
      <w:r>
        <w:rPr>
          <w:rStyle w:val="63"/>
          <w:rFonts w:hint="eastAsia" w:ascii="Times New Roman"/>
        </w:rPr>
        <w:t>有无</w:t>
      </w:r>
      <w:r>
        <w:rPr>
          <w:rStyle w:val="63"/>
          <w:rFonts w:ascii="Times New Roman"/>
        </w:rPr>
        <w:t>恶臭、化学品味道和刺激性气味，</w:t>
      </w:r>
      <w:r>
        <w:rPr>
          <w:rStyle w:val="63"/>
          <w:rFonts w:hint="eastAsia" w:ascii="Times New Roman"/>
        </w:rPr>
        <w:t>有无</w:t>
      </w:r>
      <w:r>
        <w:rPr>
          <w:rStyle w:val="63"/>
          <w:rFonts w:ascii="Times New Roman"/>
        </w:rPr>
        <w:t>污染和腐蚀痕迹等；</w:t>
      </w:r>
    </w:p>
    <w:p>
      <w:pPr>
        <w:pStyle w:val="62"/>
        <w:tabs>
          <w:tab w:val="center" w:pos="4201"/>
          <w:tab w:val="right" w:leader="dot" w:pos="9298"/>
        </w:tabs>
        <w:spacing w:line="360" w:lineRule="exact"/>
        <w:rPr>
          <w:rStyle w:val="63"/>
          <w:rFonts w:ascii="Times New Roman"/>
        </w:rPr>
      </w:pPr>
      <w:r>
        <w:rPr>
          <w:rStyle w:val="63"/>
          <w:rFonts w:ascii="Times New Roman"/>
        </w:rPr>
        <w:t>（4）污水管、污水池、固体废物和危险废物堆放场现状；</w:t>
      </w:r>
    </w:p>
    <w:p>
      <w:pPr>
        <w:pStyle w:val="62"/>
        <w:tabs>
          <w:tab w:val="center" w:pos="4201"/>
          <w:tab w:val="right" w:leader="dot" w:pos="9298"/>
        </w:tabs>
        <w:spacing w:line="360" w:lineRule="exact"/>
        <w:rPr>
          <w:rStyle w:val="63"/>
          <w:rFonts w:ascii="Times New Roman"/>
        </w:rPr>
      </w:pPr>
      <w:bookmarkStart w:id="32" w:name="_Hlk39651852"/>
      <w:r>
        <w:rPr>
          <w:rStyle w:val="63"/>
          <w:rFonts w:ascii="Times New Roman"/>
        </w:rPr>
        <w:t>（5）观察并记录地块周围是否有可能受影响的居民区、学校、医院、水源保护区等，报告中应明确其与地块的位置关系</w:t>
      </w:r>
      <w:bookmarkEnd w:id="32"/>
      <w:r>
        <w:rPr>
          <w:rStyle w:val="63"/>
          <w:rFonts w:ascii="Times New Roman"/>
        </w:rPr>
        <w:t>；</w:t>
      </w:r>
    </w:p>
    <w:p>
      <w:pPr>
        <w:pStyle w:val="62"/>
        <w:tabs>
          <w:tab w:val="center" w:pos="4201"/>
          <w:tab w:val="right" w:leader="dot" w:pos="9298"/>
        </w:tabs>
        <w:spacing w:line="360" w:lineRule="exact"/>
        <w:rPr>
          <w:rStyle w:val="63"/>
          <w:rFonts w:ascii="Times New Roman"/>
        </w:rPr>
      </w:pPr>
      <w:r>
        <w:rPr>
          <w:rStyle w:val="63"/>
          <w:rFonts w:ascii="Times New Roman"/>
        </w:rPr>
        <w:t>（6）地块建（构）筑物现状及地块内土壤、地下水扰动情况。</w:t>
      </w:r>
    </w:p>
    <w:p>
      <w:pPr>
        <w:pStyle w:val="3"/>
        <w:numPr>
          <w:ilvl w:val="1"/>
          <w:numId w:val="6"/>
        </w:numPr>
        <w:spacing w:before="120" w:after="120" w:line="360" w:lineRule="exact"/>
        <w:rPr>
          <w:rFonts w:cs="Times New Roman"/>
        </w:rPr>
      </w:pPr>
      <w:bookmarkStart w:id="33" w:name="_Toc5835"/>
      <w:bookmarkStart w:id="34" w:name="_Toc25885"/>
      <w:r>
        <w:rPr>
          <w:rFonts w:cs="Times New Roman"/>
        </w:rPr>
        <w:t>人员访谈</w:t>
      </w:r>
      <w:bookmarkEnd w:id="33"/>
      <w:bookmarkEnd w:id="34"/>
    </w:p>
    <w:p>
      <w:pPr>
        <w:pStyle w:val="62"/>
        <w:tabs>
          <w:tab w:val="center" w:pos="4201"/>
          <w:tab w:val="right" w:leader="dot" w:pos="9298"/>
        </w:tabs>
        <w:spacing w:line="360" w:lineRule="exact"/>
        <w:rPr>
          <w:rStyle w:val="63"/>
          <w:rFonts w:ascii="Times New Roman"/>
        </w:rPr>
      </w:pPr>
      <w:r>
        <w:rPr>
          <w:rStyle w:val="63"/>
          <w:rFonts w:ascii="Times New Roman"/>
        </w:rPr>
        <w:t>访谈内容：包括资料收集和现场踏勘所涉及的疑问，以及信息补充和已有资料的考证。</w:t>
      </w:r>
    </w:p>
    <w:p>
      <w:pPr>
        <w:pStyle w:val="62"/>
        <w:tabs>
          <w:tab w:val="center" w:pos="4201"/>
          <w:tab w:val="right" w:leader="dot" w:pos="9298"/>
        </w:tabs>
        <w:spacing w:line="360" w:lineRule="exact"/>
        <w:rPr>
          <w:rStyle w:val="63"/>
          <w:rFonts w:ascii="Times New Roman"/>
        </w:rPr>
      </w:pPr>
      <w:r>
        <w:rPr>
          <w:rStyle w:val="63"/>
          <w:rFonts w:ascii="Times New Roman"/>
        </w:rPr>
        <w:t>访谈对象：受访者应为地块现状或历史的知情人，如地块管理机构和地方政府官员、生态环境主管部门人员、地块历史和现阶段的使用人，以及地块所在地或熟悉地块的第三方（如相邻地块的工作人员和附近居民）</w:t>
      </w:r>
      <w:bookmarkStart w:id="35" w:name="_Hlk38353889"/>
      <w:r>
        <w:rPr>
          <w:rStyle w:val="63"/>
          <w:rFonts w:ascii="Times New Roman"/>
        </w:rPr>
        <w:t>，受访者人数应</w:t>
      </w:r>
      <w:r>
        <w:rPr>
          <w:rStyle w:val="63"/>
          <w:rFonts w:hint="eastAsia" w:ascii="Times New Roman"/>
        </w:rPr>
        <w:t>不少于</w:t>
      </w:r>
      <w:r>
        <w:rPr>
          <w:rStyle w:val="63"/>
          <w:rFonts w:ascii="Times New Roman"/>
        </w:rPr>
        <w:t>3人。</w:t>
      </w:r>
    </w:p>
    <w:p>
      <w:pPr>
        <w:pStyle w:val="62"/>
        <w:tabs>
          <w:tab w:val="center" w:pos="4201"/>
          <w:tab w:val="right" w:leader="dot" w:pos="9298"/>
        </w:tabs>
        <w:spacing w:line="360" w:lineRule="exact"/>
        <w:rPr>
          <w:rFonts w:ascii="Times New Roman"/>
        </w:rPr>
      </w:pPr>
      <w:r>
        <w:rPr>
          <w:rStyle w:val="63"/>
          <w:rFonts w:ascii="Times New Roman"/>
        </w:rPr>
        <w:t>人员访谈表可参照表1-1。</w:t>
      </w:r>
    </w:p>
    <w:p>
      <w:pPr>
        <w:pStyle w:val="56"/>
        <w:tabs>
          <w:tab w:val="left" w:pos="180"/>
        </w:tabs>
        <w:adjustRightInd w:val="0"/>
        <w:spacing w:before="156" w:after="156" w:line="360" w:lineRule="exact"/>
        <w:ind w:firstLine="480"/>
        <w:rPr>
          <w:rFonts w:ascii="Times New Roman"/>
        </w:rPr>
        <w:sectPr>
          <w:footerReference r:id="rId13" w:type="default"/>
          <w:pgSz w:w="11906" w:h="16838"/>
          <w:pgMar w:top="1276" w:right="1701" w:bottom="1440" w:left="1701" w:header="851" w:footer="992" w:gutter="0"/>
          <w:cols w:space="425" w:num="1"/>
          <w:docGrid w:type="lines" w:linePitch="435" w:charSpace="0"/>
        </w:sectPr>
      </w:pPr>
    </w:p>
    <w:p>
      <w:pPr>
        <w:pStyle w:val="67"/>
        <w:numPr>
          <w:ilvl w:val="0"/>
          <w:numId w:val="0"/>
        </w:numPr>
        <w:tabs>
          <w:tab w:val="left" w:pos="360"/>
        </w:tabs>
        <w:spacing w:before="0" w:after="0" w:line="360" w:lineRule="exact"/>
        <w:textAlignment w:val="auto"/>
        <w:rPr>
          <w:rStyle w:val="63"/>
          <w:rFonts w:ascii="Times New Roman"/>
        </w:rPr>
      </w:pPr>
      <w:r>
        <w:rPr>
          <w:rStyle w:val="63"/>
          <w:rFonts w:ascii="Times New Roman"/>
        </w:rPr>
        <w:t>表1-1  XXXX地块土壤污染状况调查访谈表</w:t>
      </w:r>
    </w:p>
    <w:tbl>
      <w:tblPr>
        <w:tblStyle w:val="18"/>
        <w:tblW w:w="91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
        <w:gridCol w:w="1323"/>
        <w:gridCol w:w="2406"/>
        <w:gridCol w:w="1204"/>
        <w:gridCol w:w="37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1790"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0" w:firstLineChars="0"/>
              <w:jc w:val="center"/>
              <w:rPr>
                <w:rFonts w:eastAsia="宋体" w:cs="Times New Roman"/>
                <w:bCs/>
                <w:sz w:val="18"/>
                <w:szCs w:val="18"/>
              </w:rPr>
            </w:pPr>
            <w:r>
              <w:rPr>
                <w:rFonts w:eastAsia="宋体" w:cs="Times New Roman"/>
                <w:bCs/>
                <w:sz w:val="18"/>
                <w:szCs w:val="18"/>
              </w:rPr>
              <w:t>受访者姓名</w:t>
            </w:r>
          </w:p>
        </w:tc>
        <w:tc>
          <w:tcPr>
            <w:tcW w:w="2406"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0" w:firstLineChars="0"/>
              <w:jc w:val="center"/>
              <w:rPr>
                <w:rFonts w:eastAsia="宋体" w:cs="Times New Roman"/>
                <w:bCs/>
                <w:sz w:val="18"/>
                <w:szCs w:val="18"/>
              </w:rPr>
            </w:pPr>
          </w:p>
        </w:tc>
        <w:tc>
          <w:tcPr>
            <w:tcW w:w="1204"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0" w:firstLineChars="0"/>
              <w:jc w:val="center"/>
              <w:rPr>
                <w:rFonts w:eastAsia="宋体" w:cs="Times New Roman"/>
                <w:bCs/>
                <w:sz w:val="18"/>
                <w:szCs w:val="18"/>
              </w:rPr>
            </w:pPr>
            <w:r>
              <w:rPr>
                <w:rFonts w:eastAsia="宋体" w:cs="Times New Roman"/>
                <w:bCs/>
                <w:sz w:val="18"/>
                <w:szCs w:val="18"/>
              </w:rPr>
              <w:t>联系方式</w:t>
            </w:r>
          </w:p>
        </w:tc>
        <w:tc>
          <w:tcPr>
            <w:tcW w:w="3749"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360"/>
              <w:jc w:val="center"/>
              <w:rPr>
                <w:rFonts w:eastAsia="宋体" w:cs="Times New Roman"/>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1790" w:type="dxa"/>
            <w:gridSpan w:val="2"/>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0" w:firstLineChars="0"/>
              <w:jc w:val="center"/>
              <w:rPr>
                <w:rFonts w:eastAsia="宋体" w:cs="Times New Roman"/>
                <w:bCs/>
                <w:sz w:val="18"/>
                <w:szCs w:val="18"/>
              </w:rPr>
            </w:pPr>
            <w:r>
              <w:rPr>
                <w:rFonts w:eastAsia="宋体" w:cs="Times New Roman"/>
                <w:bCs/>
                <w:sz w:val="18"/>
                <w:szCs w:val="18"/>
              </w:rPr>
              <w:t>所在单位及职位</w:t>
            </w:r>
          </w:p>
        </w:tc>
        <w:tc>
          <w:tcPr>
            <w:tcW w:w="2406"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0" w:firstLineChars="0"/>
              <w:jc w:val="center"/>
              <w:rPr>
                <w:rFonts w:eastAsia="宋体" w:cs="Times New Roman"/>
                <w:bCs/>
                <w:sz w:val="18"/>
                <w:szCs w:val="18"/>
              </w:rPr>
            </w:pPr>
          </w:p>
        </w:tc>
        <w:tc>
          <w:tcPr>
            <w:tcW w:w="1204"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0" w:firstLineChars="0"/>
              <w:jc w:val="center"/>
              <w:rPr>
                <w:rFonts w:eastAsia="宋体" w:cs="Times New Roman"/>
                <w:bCs/>
                <w:sz w:val="18"/>
                <w:szCs w:val="18"/>
              </w:rPr>
            </w:pPr>
            <w:r>
              <w:rPr>
                <w:rFonts w:eastAsia="宋体" w:cs="Times New Roman"/>
                <w:bCs/>
                <w:sz w:val="18"/>
                <w:szCs w:val="18"/>
              </w:rPr>
              <w:t>工作时间</w:t>
            </w:r>
          </w:p>
        </w:tc>
        <w:tc>
          <w:tcPr>
            <w:tcW w:w="3749"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360"/>
              <w:jc w:val="center"/>
              <w:rPr>
                <w:rFonts w:eastAsia="宋体" w:cs="Times New Roman"/>
                <w:bCs/>
                <w:sz w:val="18"/>
                <w:szCs w:val="18"/>
              </w:rPr>
            </w:pPr>
            <w:r>
              <w:rPr>
                <w:rFonts w:eastAsia="宋体" w:cs="Times New Roman"/>
                <w:bCs/>
                <w:sz w:val="18"/>
                <w:szCs w:val="18"/>
              </w:rPr>
              <w:t>自</w:t>
            </w:r>
            <w:r>
              <w:rPr>
                <w:rFonts w:eastAsia="宋体" w:cs="Times New Roman"/>
                <w:bCs/>
                <w:sz w:val="18"/>
                <w:szCs w:val="18"/>
                <w:u w:val="single"/>
              </w:rPr>
              <w:t xml:space="preserve">    </w:t>
            </w:r>
            <w:r>
              <w:rPr>
                <w:rFonts w:eastAsia="宋体" w:cs="Times New Roman"/>
                <w:bCs/>
                <w:sz w:val="18"/>
                <w:szCs w:val="18"/>
              </w:rPr>
              <w:t>年</w:t>
            </w:r>
            <w:r>
              <w:rPr>
                <w:rFonts w:eastAsia="宋体" w:cs="Times New Roman"/>
                <w:bCs/>
                <w:sz w:val="18"/>
                <w:szCs w:val="18"/>
                <w:u w:val="single"/>
              </w:rPr>
              <w:t xml:space="preserve">   </w:t>
            </w:r>
            <w:r>
              <w:rPr>
                <w:rFonts w:eastAsia="宋体" w:cs="Times New Roman"/>
                <w:bCs/>
                <w:sz w:val="18"/>
                <w:szCs w:val="18"/>
              </w:rPr>
              <w:t>月至</w:t>
            </w:r>
            <w:r>
              <w:rPr>
                <w:rFonts w:eastAsia="宋体" w:cs="Times New Roman"/>
                <w:bCs/>
                <w:sz w:val="18"/>
                <w:szCs w:val="18"/>
                <w:u w:val="single"/>
              </w:rPr>
              <w:t xml:space="preserve">    </w:t>
            </w:r>
            <w:r>
              <w:rPr>
                <w:rFonts w:eastAsia="宋体" w:cs="Times New Roman"/>
                <w:bCs/>
                <w:sz w:val="18"/>
                <w:szCs w:val="18"/>
              </w:rPr>
              <w:t>年</w:t>
            </w:r>
            <w:r>
              <w:rPr>
                <w:rFonts w:eastAsia="宋体" w:cs="Times New Roman"/>
                <w:bCs/>
                <w:sz w:val="18"/>
                <w:szCs w:val="18"/>
                <w:u w:val="single"/>
              </w:rPr>
              <w:t xml:space="preserve">    </w:t>
            </w:r>
            <w:r>
              <w:rPr>
                <w:rFonts w:eastAsia="宋体" w:cs="Times New Roman"/>
                <w:bCs/>
                <w:sz w:val="18"/>
                <w:szCs w:val="18"/>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6" w:hRule="atLeast"/>
          <w:jc w:val="center"/>
        </w:trPr>
        <w:tc>
          <w:tcPr>
            <w:tcW w:w="1790" w:type="dxa"/>
            <w:gridSpan w:val="2"/>
            <w:tcBorders>
              <w:top w:val="single" w:color="000000" w:sz="4" w:space="0"/>
              <w:left w:val="single" w:color="000000" w:sz="4" w:space="0"/>
              <w:right w:val="single" w:color="000000" w:sz="4" w:space="0"/>
            </w:tcBorders>
            <w:vAlign w:val="center"/>
          </w:tcPr>
          <w:p>
            <w:pPr>
              <w:adjustRightInd w:val="0"/>
              <w:spacing w:line="360" w:lineRule="exact"/>
              <w:ind w:firstLine="0" w:firstLineChars="0"/>
              <w:jc w:val="center"/>
              <w:rPr>
                <w:rFonts w:eastAsia="宋体" w:cs="Times New Roman"/>
                <w:bCs/>
                <w:sz w:val="18"/>
                <w:szCs w:val="18"/>
              </w:rPr>
            </w:pPr>
            <w:r>
              <w:rPr>
                <w:rFonts w:eastAsia="宋体" w:cs="Times New Roman"/>
                <w:bCs/>
                <w:sz w:val="18"/>
                <w:szCs w:val="18"/>
              </w:rPr>
              <w:t>与地块关联</w:t>
            </w:r>
          </w:p>
          <w:p>
            <w:pPr>
              <w:adjustRightInd w:val="0"/>
              <w:spacing w:line="360" w:lineRule="exact"/>
              <w:ind w:firstLine="0" w:firstLineChars="0"/>
              <w:jc w:val="center"/>
              <w:rPr>
                <w:rFonts w:eastAsia="宋体" w:cs="Times New Roman"/>
                <w:bCs/>
                <w:sz w:val="18"/>
                <w:szCs w:val="18"/>
              </w:rPr>
            </w:pPr>
            <w:r>
              <w:rPr>
                <w:rFonts w:eastAsia="宋体" w:cs="Times New Roman"/>
                <w:bCs/>
                <w:sz w:val="18"/>
                <w:szCs w:val="18"/>
              </w:rPr>
              <w:t>信息</w:t>
            </w:r>
          </w:p>
        </w:tc>
        <w:tc>
          <w:tcPr>
            <w:tcW w:w="7359" w:type="dxa"/>
            <w:gridSpan w:val="3"/>
            <w:tcBorders>
              <w:top w:val="single" w:color="000000" w:sz="4" w:space="0"/>
              <w:left w:val="single" w:color="000000" w:sz="4" w:space="0"/>
              <w:right w:val="single" w:color="000000" w:sz="4" w:space="0"/>
            </w:tcBorders>
            <w:vAlign w:val="center"/>
          </w:tcPr>
          <w:p>
            <w:pPr>
              <w:adjustRightInd w:val="0"/>
              <w:spacing w:line="360" w:lineRule="exact"/>
              <w:ind w:firstLine="0" w:firstLineChars="0"/>
              <w:rPr>
                <w:rFonts w:eastAsia="宋体" w:cs="Times New Roman"/>
                <w:bCs/>
                <w:sz w:val="18"/>
                <w:szCs w:val="18"/>
              </w:rPr>
            </w:pPr>
            <w:r>
              <w:rPr>
                <w:rFonts w:hint="eastAsia" w:eastAsia="宋体" w:cs="Times New Roman"/>
                <w:bCs/>
                <w:sz w:val="18"/>
                <w:szCs w:val="18"/>
              </w:rPr>
              <w:t>□</w:t>
            </w:r>
            <w:r>
              <w:rPr>
                <w:rFonts w:eastAsia="宋体" w:cs="Times New Roman"/>
                <w:bCs/>
                <w:sz w:val="18"/>
                <w:szCs w:val="18"/>
              </w:rPr>
              <w:t xml:space="preserve">地块使用权人   </w:t>
            </w:r>
            <w:r>
              <w:rPr>
                <w:rFonts w:hint="eastAsia" w:eastAsia="宋体" w:cs="Times New Roman"/>
                <w:bCs/>
                <w:sz w:val="18"/>
                <w:szCs w:val="18"/>
              </w:rPr>
              <w:t>□</w:t>
            </w:r>
            <w:r>
              <w:rPr>
                <w:rFonts w:eastAsia="宋体" w:cs="Times New Roman"/>
                <w:bCs/>
                <w:sz w:val="18"/>
                <w:szCs w:val="18"/>
              </w:rPr>
              <w:t xml:space="preserve">管理部门工作人员   </w:t>
            </w:r>
            <w:r>
              <w:rPr>
                <w:rFonts w:hint="eastAsia" w:eastAsia="宋体" w:cs="Times New Roman"/>
                <w:bCs/>
                <w:sz w:val="18"/>
                <w:szCs w:val="18"/>
              </w:rPr>
              <w:t>□</w:t>
            </w:r>
            <w:r>
              <w:rPr>
                <w:rFonts w:eastAsia="宋体" w:cs="Times New Roman"/>
                <w:bCs/>
                <w:sz w:val="18"/>
                <w:szCs w:val="18"/>
              </w:rPr>
              <w:t xml:space="preserve">相邻地块工作人员或附近居民   </w:t>
            </w:r>
            <w:r>
              <w:rPr>
                <w:rFonts w:hint="eastAsia" w:eastAsia="宋体" w:cs="Times New Roman"/>
                <w:bCs/>
                <w:sz w:val="18"/>
                <w:szCs w:val="18"/>
              </w:rPr>
              <w:t>□</w:t>
            </w:r>
            <w:r>
              <w:rPr>
                <w:rFonts w:eastAsia="宋体" w:cs="Times New Roman"/>
                <w:bCs/>
                <w:sz w:val="18"/>
                <w:szCs w:val="18"/>
              </w:rPr>
              <w:t>其他</w:t>
            </w:r>
            <w:r>
              <w:rPr>
                <w:rFonts w:eastAsia="宋体" w:cs="Times New Roman"/>
                <w:bCs/>
                <w:sz w:val="18"/>
                <w:szCs w:val="18"/>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7" w:hRule="atLeast"/>
          <w:jc w:val="center"/>
        </w:trPr>
        <w:tc>
          <w:tcPr>
            <w:tcW w:w="467" w:type="dxa"/>
            <w:tcBorders>
              <w:top w:val="single" w:color="000000" w:sz="4" w:space="0"/>
              <w:left w:val="single" w:color="000000" w:sz="4" w:space="0"/>
              <w:right w:val="single" w:color="auto" w:sz="4" w:space="0"/>
            </w:tcBorders>
            <w:vAlign w:val="center"/>
          </w:tcPr>
          <w:p>
            <w:pPr>
              <w:adjustRightInd w:val="0"/>
              <w:spacing w:line="360" w:lineRule="exact"/>
              <w:ind w:firstLine="0" w:firstLineChars="0"/>
              <w:rPr>
                <w:rFonts w:eastAsia="宋体" w:cs="Times New Roman"/>
                <w:bCs/>
                <w:sz w:val="18"/>
                <w:szCs w:val="18"/>
              </w:rPr>
            </w:pPr>
            <w:r>
              <w:rPr>
                <w:rFonts w:eastAsia="宋体" w:cs="Times New Roman"/>
                <w:bCs/>
                <w:sz w:val="18"/>
                <w:szCs w:val="18"/>
              </w:rPr>
              <w:t>访谈内容记录</w:t>
            </w:r>
          </w:p>
        </w:tc>
        <w:tc>
          <w:tcPr>
            <w:tcW w:w="8682" w:type="dxa"/>
            <w:gridSpan w:val="4"/>
            <w:tcBorders>
              <w:top w:val="single" w:color="000000" w:sz="4" w:space="0"/>
              <w:left w:val="single" w:color="auto" w:sz="4" w:space="0"/>
              <w:right w:val="single" w:color="000000" w:sz="4" w:space="0"/>
            </w:tcBorders>
            <w:vAlign w:val="center"/>
          </w:tcPr>
          <w:p>
            <w:pPr>
              <w:numPr>
                <w:ilvl w:val="0"/>
                <w:numId w:val="7"/>
              </w:numPr>
              <w:adjustRightInd w:val="0"/>
              <w:spacing w:line="360" w:lineRule="exact"/>
              <w:ind w:firstLine="0" w:firstLineChars="0"/>
              <w:jc w:val="left"/>
              <w:rPr>
                <w:rFonts w:eastAsia="宋体" w:cs="Times New Roman"/>
                <w:bCs/>
                <w:sz w:val="18"/>
                <w:szCs w:val="18"/>
              </w:rPr>
            </w:pPr>
            <w:r>
              <w:rPr>
                <w:rFonts w:eastAsia="宋体" w:cs="Times New Roman"/>
                <w:bCs/>
                <w:sz w:val="18"/>
                <w:szCs w:val="18"/>
              </w:rPr>
              <w:t>土地利用历史和用途变迁；</w:t>
            </w:r>
          </w:p>
          <w:p>
            <w:pPr>
              <w:numPr>
                <w:ilvl w:val="0"/>
                <w:numId w:val="7"/>
              </w:numPr>
              <w:adjustRightInd w:val="0"/>
              <w:spacing w:line="360" w:lineRule="exact"/>
              <w:ind w:firstLine="0" w:firstLineChars="0"/>
              <w:jc w:val="left"/>
              <w:rPr>
                <w:rFonts w:eastAsia="宋体" w:cs="Times New Roman"/>
                <w:bCs/>
                <w:sz w:val="18"/>
                <w:szCs w:val="18"/>
              </w:rPr>
            </w:pPr>
            <w:r>
              <w:rPr>
                <w:rFonts w:eastAsia="宋体" w:cs="Times New Roman"/>
                <w:bCs/>
                <w:sz w:val="18"/>
                <w:szCs w:val="18"/>
              </w:rPr>
              <w:t>原有企业工艺简介及变化情况；</w:t>
            </w:r>
          </w:p>
          <w:p>
            <w:pPr>
              <w:numPr>
                <w:ilvl w:val="0"/>
                <w:numId w:val="7"/>
              </w:numPr>
              <w:adjustRightInd w:val="0"/>
              <w:spacing w:line="360" w:lineRule="exact"/>
              <w:ind w:firstLine="0" w:firstLineChars="0"/>
              <w:jc w:val="left"/>
              <w:rPr>
                <w:rFonts w:eastAsia="宋体" w:cs="Times New Roman"/>
                <w:bCs/>
                <w:sz w:val="18"/>
                <w:szCs w:val="18"/>
              </w:rPr>
            </w:pPr>
            <w:r>
              <w:rPr>
                <w:rFonts w:eastAsia="宋体" w:cs="Times New Roman"/>
                <w:bCs/>
                <w:sz w:val="18"/>
                <w:szCs w:val="18"/>
              </w:rPr>
              <w:t>历史上</w:t>
            </w:r>
            <w:r>
              <w:rPr>
                <w:rFonts w:hint="eastAsia" w:eastAsia="宋体" w:cs="Times New Roman"/>
                <w:bCs/>
                <w:sz w:val="18"/>
                <w:szCs w:val="18"/>
              </w:rPr>
              <w:t>发生的</w:t>
            </w:r>
            <w:r>
              <w:rPr>
                <w:rFonts w:eastAsia="宋体" w:cs="Times New Roman"/>
                <w:bCs/>
                <w:sz w:val="18"/>
                <w:szCs w:val="18"/>
              </w:rPr>
              <w:t>突发环境事故及处置措施情况；</w:t>
            </w:r>
          </w:p>
          <w:p>
            <w:pPr>
              <w:numPr>
                <w:ilvl w:val="0"/>
                <w:numId w:val="7"/>
              </w:numPr>
              <w:adjustRightInd w:val="0"/>
              <w:spacing w:line="360" w:lineRule="exact"/>
              <w:ind w:firstLine="0" w:firstLineChars="0"/>
              <w:jc w:val="left"/>
              <w:rPr>
                <w:rFonts w:eastAsia="宋体" w:cs="Times New Roman"/>
                <w:bCs/>
                <w:sz w:val="18"/>
                <w:szCs w:val="18"/>
              </w:rPr>
            </w:pPr>
            <w:r>
              <w:rPr>
                <w:rFonts w:eastAsia="宋体" w:cs="Times New Roman"/>
                <w:bCs/>
                <w:sz w:val="18"/>
                <w:szCs w:val="18"/>
              </w:rPr>
              <w:t>原、辅材料、有毒有害危险化学品、危险废物储存、运输、装卸情况；</w:t>
            </w:r>
          </w:p>
          <w:p>
            <w:pPr>
              <w:numPr>
                <w:ilvl w:val="0"/>
                <w:numId w:val="7"/>
              </w:numPr>
              <w:adjustRightInd w:val="0"/>
              <w:spacing w:line="360" w:lineRule="exact"/>
              <w:ind w:firstLine="0" w:firstLineChars="0"/>
              <w:jc w:val="left"/>
              <w:rPr>
                <w:rFonts w:eastAsia="宋体" w:cs="Times New Roman"/>
                <w:bCs/>
                <w:sz w:val="18"/>
                <w:szCs w:val="18"/>
              </w:rPr>
            </w:pPr>
            <w:r>
              <w:rPr>
                <w:rFonts w:eastAsia="宋体" w:cs="Times New Roman"/>
                <w:bCs/>
                <w:sz w:val="18"/>
                <w:szCs w:val="18"/>
              </w:rPr>
              <w:t>地下储罐、储槽和管线情况；</w:t>
            </w:r>
          </w:p>
          <w:p>
            <w:pPr>
              <w:numPr>
                <w:ilvl w:val="0"/>
                <w:numId w:val="7"/>
              </w:numPr>
              <w:adjustRightInd w:val="0"/>
              <w:spacing w:line="360" w:lineRule="exact"/>
              <w:ind w:firstLine="0" w:firstLineChars="0"/>
              <w:jc w:val="left"/>
              <w:rPr>
                <w:rFonts w:eastAsia="宋体" w:cs="Times New Roman"/>
                <w:bCs/>
                <w:sz w:val="18"/>
                <w:szCs w:val="18"/>
              </w:rPr>
            </w:pPr>
            <w:r>
              <w:rPr>
                <w:rFonts w:eastAsia="宋体" w:cs="Times New Roman"/>
                <w:bCs/>
                <w:sz w:val="18"/>
                <w:szCs w:val="18"/>
              </w:rPr>
              <w:t>原有企业变压器的使用时间和位置等情况；</w:t>
            </w:r>
          </w:p>
          <w:p>
            <w:pPr>
              <w:numPr>
                <w:ilvl w:val="0"/>
                <w:numId w:val="7"/>
              </w:numPr>
              <w:adjustRightInd w:val="0"/>
              <w:spacing w:line="360" w:lineRule="exact"/>
              <w:ind w:firstLine="0" w:firstLineChars="0"/>
              <w:jc w:val="left"/>
              <w:rPr>
                <w:rFonts w:eastAsia="宋体" w:cs="Times New Roman"/>
                <w:bCs/>
                <w:sz w:val="18"/>
                <w:szCs w:val="18"/>
              </w:rPr>
            </w:pPr>
            <w:r>
              <w:rPr>
                <w:rFonts w:eastAsia="宋体" w:cs="Times New Roman"/>
                <w:bCs/>
                <w:sz w:val="18"/>
                <w:szCs w:val="18"/>
              </w:rPr>
              <w:t>原有企业污染治理设施及升级改造情况、污染物排放情况；</w:t>
            </w:r>
          </w:p>
          <w:p>
            <w:pPr>
              <w:numPr>
                <w:ilvl w:val="0"/>
                <w:numId w:val="7"/>
              </w:numPr>
              <w:adjustRightInd w:val="0"/>
              <w:spacing w:line="360" w:lineRule="exact"/>
              <w:ind w:firstLine="0" w:firstLineChars="0"/>
              <w:jc w:val="left"/>
              <w:rPr>
                <w:rFonts w:eastAsia="宋体" w:cs="Times New Roman"/>
                <w:bCs/>
                <w:sz w:val="18"/>
                <w:szCs w:val="18"/>
              </w:rPr>
            </w:pPr>
            <w:r>
              <w:rPr>
                <w:rFonts w:eastAsia="宋体" w:cs="Times New Roman"/>
                <w:bCs/>
                <w:sz w:val="18"/>
                <w:szCs w:val="18"/>
              </w:rPr>
              <w:t>周边潜在污染源及分布情况；</w:t>
            </w:r>
          </w:p>
          <w:p>
            <w:pPr>
              <w:numPr>
                <w:ilvl w:val="0"/>
                <w:numId w:val="7"/>
              </w:numPr>
              <w:adjustRightInd w:val="0"/>
              <w:spacing w:line="360" w:lineRule="exact"/>
              <w:ind w:firstLine="0" w:firstLineChars="0"/>
              <w:jc w:val="left"/>
              <w:rPr>
                <w:rFonts w:eastAsia="宋体" w:cs="Times New Roman"/>
                <w:bCs/>
                <w:sz w:val="18"/>
                <w:szCs w:val="18"/>
              </w:rPr>
            </w:pPr>
            <w:r>
              <w:rPr>
                <w:rFonts w:eastAsia="宋体" w:cs="Times New Roman"/>
                <w:bCs/>
                <w:sz w:val="18"/>
                <w:szCs w:val="18"/>
              </w:rPr>
              <w:t>其它内容。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4" w:hRule="atLeast"/>
          <w:jc w:val="center"/>
        </w:trPr>
        <w:tc>
          <w:tcPr>
            <w:tcW w:w="9149" w:type="dxa"/>
            <w:gridSpan w:val="5"/>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360"/>
              <w:rPr>
                <w:rFonts w:eastAsia="宋体" w:cs="Times New Roman"/>
                <w:bCs/>
                <w:sz w:val="18"/>
                <w:szCs w:val="18"/>
              </w:rPr>
            </w:pPr>
            <w:r>
              <w:rPr>
                <w:rFonts w:eastAsia="宋体" w:cs="Times New Roman"/>
                <w:bCs/>
                <w:sz w:val="18"/>
                <w:szCs w:val="18"/>
              </w:rPr>
              <w:t xml:space="preserve">受访人签名：                  访谈人签名：                             </w:t>
            </w:r>
          </w:p>
          <w:p>
            <w:pPr>
              <w:adjustRightInd w:val="0"/>
              <w:spacing w:line="360" w:lineRule="exact"/>
              <w:ind w:firstLine="360"/>
              <w:rPr>
                <w:rFonts w:eastAsia="宋体" w:cs="Times New Roman"/>
                <w:bCs/>
                <w:sz w:val="18"/>
                <w:szCs w:val="18"/>
              </w:rPr>
            </w:pPr>
          </w:p>
          <w:p>
            <w:pPr>
              <w:adjustRightInd w:val="0"/>
              <w:spacing w:line="360" w:lineRule="exact"/>
              <w:ind w:firstLine="5369" w:firstLineChars="2983"/>
              <w:rPr>
                <w:rFonts w:eastAsia="宋体" w:cs="Times New Roman"/>
                <w:bCs/>
                <w:sz w:val="18"/>
                <w:szCs w:val="18"/>
              </w:rPr>
            </w:pPr>
            <w:r>
              <w:rPr>
                <w:rFonts w:eastAsia="宋体" w:cs="Times New Roman"/>
                <w:bCs/>
                <w:sz w:val="18"/>
                <w:szCs w:val="18"/>
              </w:rPr>
              <w:t xml:space="preserve">   年    月    日</w:t>
            </w:r>
          </w:p>
        </w:tc>
      </w:tr>
    </w:tbl>
    <w:p>
      <w:pPr>
        <w:pStyle w:val="6"/>
        <w:widowControl/>
        <w:spacing w:before="0" w:after="0" w:line="360" w:lineRule="exact"/>
        <w:ind w:firstLine="403" w:firstLineChars="0"/>
        <w:textAlignment w:val="baseline"/>
        <w:rPr>
          <w:rStyle w:val="63"/>
          <w:rFonts w:ascii="Times New Roman" w:hAnsi="Times New Roman" w:eastAsia="宋体" w:cs="Times New Roman"/>
          <w:sz w:val="18"/>
          <w:szCs w:val="18"/>
        </w:rPr>
      </w:pPr>
      <w:r>
        <w:rPr>
          <w:rStyle w:val="63"/>
          <w:rFonts w:ascii="Times New Roman" w:hAnsi="Times New Roman" w:eastAsia="宋体" w:cs="Times New Roman"/>
          <w:sz w:val="18"/>
          <w:szCs w:val="18"/>
        </w:rPr>
        <w:t>备注：因地块情况各异，可增加或删减相关访谈内容。</w:t>
      </w:r>
    </w:p>
    <w:bookmarkEnd w:id="35"/>
    <w:p>
      <w:pPr>
        <w:pStyle w:val="3"/>
        <w:numPr>
          <w:ilvl w:val="1"/>
          <w:numId w:val="6"/>
        </w:numPr>
        <w:spacing w:before="120" w:after="120" w:line="360" w:lineRule="exact"/>
        <w:rPr>
          <w:rFonts w:cs="Times New Roman"/>
        </w:rPr>
      </w:pPr>
      <w:bookmarkStart w:id="36" w:name="_Toc27357"/>
      <w:bookmarkStart w:id="37" w:name="_Toc28821"/>
      <w:r>
        <w:rPr>
          <w:rFonts w:cs="Times New Roman"/>
        </w:rPr>
        <w:t>污染识别信息分析及结论</w:t>
      </w:r>
      <w:bookmarkEnd w:id="36"/>
      <w:bookmarkEnd w:id="37"/>
    </w:p>
    <w:p>
      <w:pPr>
        <w:pStyle w:val="62"/>
        <w:tabs>
          <w:tab w:val="center" w:pos="4201"/>
          <w:tab w:val="right" w:leader="dot" w:pos="9298"/>
        </w:tabs>
        <w:spacing w:line="360" w:lineRule="exact"/>
        <w:rPr>
          <w:rStyle w:val="63"/>
          <w:rFonts w:ascii="Times New Roman"/>
        </w:rPr>
      </w:pPr>
      <w:r>
        <w:rPr>
          <w:rStyle w:val="63"/>
          <w:rFonts w:ascii="Times New Roman"/>
        </w:rPr>
        <w:t>明确地块内及周边区域当前和历史上有无可能的污染源，并进行不确定性分析。若无可能的污染源，可以结束调查工作；若有可能的污染源，应说明可能的污染类型、污染来源、污染状况和污染重点区域，明确地块特征污染物（关注污染物），并提出初步采样调查建议。</w:t>
      </w:r>
    </w:p>
    <w:p>
      <w:pPr>
        <w:pStyle w:val="3"/>
        <w:numPr>
          <w:ilvl w:val="0"/>
          <w:numId w:val="5"/>
        </w:numPr>
        <w:tabs>
          <w:tab w:val="left" w:pos="420"/>
        </w:tabs>
        <w:spacing w:before="240" w:after="240" w:line="360" w:lineRule="exact"/>
        <w:rPr>
          <w:rFonts w:cs="Times New Roman"/>
        </w:rPr>
      </w:pPr>
      <w:bookmarkStart w:id="38" w:name="_Toc10903"/>
      <w:bookmarkStart w:id="39" w:name="_Toc31783"/>
      <w:r>
        <w:rPr>
          <w:rFonts w:cs="Times New Roman"/>
        </w:rPr>
        <w:t>第二阶段土壤污染状况调查</w:t>
      </w:r>
      <w:bookmarkEnd w:id="38"/>
      <w:bookmarkEnd w:id="39"/>
    </w:p>
    <w:p>
      <w:pPr>
        <w:pStyle w:val="3"/>
        <w:numPr>
          <w:ilvl w:val="1"/>
          <w:numId w:val="5"/>
        </w:numPr>
        <w:spacing w:before="120" w:after="120" w:line="360" w:lineRule="exact"/>
        <w:rPr>
          <w:rFonts w:cs="Times New Roman"/>
        </w:rPr>
      </w:pPr>
      <w:bookmarkStart w:id="40" w:name="_Toc22940"/>
      <w:bookmarkStart w:id="41" w:name="_Toc24545"/>
      <w:r>
        <w:rPr>
          <w:rFonts w:cs="Times New Roman"/>
        </w:rPr>
        <w:t>初步调查监测方案</w:t>
      </w:r>
      <w:bookmarkEnd w:id="40"/>
      <w:bookmarkEnd w:id="41"/>
    </w:p>
    <w:p>
      <w:pPr>
        <w:pStyle w:val="62"/>
        <w:tabs>
          <w:tab w:val="center" w:pos="4201"/>
          <w:tab w:val="right" w:leader="dot" w:pos="9298"/>
        </w:tabs>
        <w:spacing w:line="360" w:lineRule="exact"/>
        <w:rPr>
          <w:rStyle w:val="63"/>
          <w:rFonts w:ascii="Times New Roman"/>
        </w:rPr>
      </w:pPr>
      <w:r>
        <w:rPr>
          <w:rStyle w:val="63"/>
          <w:rFonts w:ascii="Times New Roman"/>
        </w:rPr>
        <w:t>初步调查监测方案，应明确调查范围、监测介质、监测项目以及点位布设等。</w:t>
      </w:r>
    </w:p>
    <w:p>
      <w:pPr>
        <w:pStyle w:val="66"/>
        <w:numPr>
          <w:ilvl w:val="2"/>
          <w:numId w:val="5"/>
        </w:numPr>
        <w:spacing w:before="217" w:beforeLines="50" w:after="217" w:afterLines="50" w:line="360" w:lineRule="exact"/>
        <w:textAlignment w:val="auto"/>
        <w:rPr>
          <w:rStyle w:val="63"/>
          <w:rFonts w:ascii="Times New Roman"/>
        </w:rPr>
      </w:pPr>
      <w:r>
        <w:rPr>
          <w:rStyle w:val="63"/>
          <w:rFonts w:ascii="Times New Roman"/>
        </w:rPr>
        <w:t>调查范围</w:t>
      </w:r>
    </w:p>
    <w:p>
      <w:pPr>
        <w:pStyle w:val="62"/>
        <w:tabs>
          <w:tab w:val="center" w:pos="4201"/>
          <w:tab w:val="right" w:leader="dot" w:pos="9298"/>
        </w:tabs>
        <w:spacing w:line="360" w:lineRule="exact"/>
        <w:rPr>
          <w:rStyle w:val="63"/>
          <w:rFonts w:ascii="Times New Roman"/>
        </w:rPr>
      </w:pPr>
      <w:r>
        <w:rPr>
          <w:rStyle w:val="63"/>
          <w:rFonts w:ascii="Times New Roman"/>
        </w:rPr>
        <w:t>调查范围原则上为地块的边界范围。</w:t>
      </w:r>
    </w:p>
    <w:p>
      <w:pPr>
        <w:pStyle w:val="62"/>
        <w:tabs>
          <w:tab w:val="center" w:pos="4201"/>
          <w:tab w:val="right" w:leader="dot" w:pos="9298"/>
        </w:tabs>
        <w:spacing w:line="360" w:lineRule="exact"/>
        <w:rPr>
          <w:rStyle w:val="63"/>
          <w:rFonts w:ascii="Times New Roman"/>
        </w:rPr>
      </w:pPr>
      <w:r>
        <w:rPr>
          <w:rStyle w:val="63"/>
          <w:rFonts w:ascii="Times New Roman"/>
        </w:rPr>
        <w:t>原则上按照地块为单位进行污染状况调查。大型地块考虑到开发时序等因素，可以根据控制性详细规划或收储红线范围分区域调查，区域边界应与控制性详细规划或拟收储红线范围保持一致；相邻的小型地块也可合并调查，调查范围应与控制性详细规划或拟收储红线范围保持一致，并附控制性详细规划或拟收储红线范围支撑材料。</w:t>
      </w:r>
    </w:p>
    <w:p>
      <w:pPr>
        <w:pStyle w:val="66"/>
        <w:numPr>
          <w:ilvl w:val="2"/>
          <w:numId w:val="5"/>
        </w:numPr>
        <w:spacing w:before="217" w:beforeLines="50" w:after="217" w:afterLines="50" w:line="360" w:lineRule="exact"/>
        <w:textAlignment w:val="auto"/>
        <w:rPr>
          <w:rStyle w:val="63"/>
          <w:rFonts w:ascii="Times New Roman"/>
        </w:rPr>
      </w:pPr>
      <w:r>
        <w:rPr>
          <w:rStyle w:val="63"/>
          <w:rFonts w:ascii="Times New Roman"/>
        </w:rPr>
        <w:t>监测介质</w:t>
      </w:r>
    </w:p>
    <w:p>
      <w:pPr>
        <w:pStyle w:val="62"/>
        <w:tabs>
          <w:tab w:val="center" w:pos="4201"/>
          <w:tab w:val="right" w:leader="dot" w:pos="9298"/>
        </w:tabs>
        <w:spacing w:line="360" w:lineRule="exact"/>
        <w:rPr>
          <w:rStyle w:val="63"/>
          <w:rFonts w:ascii="Times New Roman"/>
        </w:rPr>
      </w:pPr>
      <w:r>
        <w:rPr>
          <w:rStyle w:val="63"/>
          <w:rFonts w:ascii="Times New Roman"/>
        </w:rPr>
        <w:t>监测介质主要为地块土壤和地下水，根据地块具体情况还可能包括地表水、底泥和残余废弃物等。</w:t>
      </w:r>
    </w:p>
    <w:p>
      <w:pPr>
        <w:pStyle w:val="66"/>
        <w:numPr>
          <w:ilvl w:val="2"/>
          <w:numId w:val="5"/>
        </w:numPr>
        <w:spacing w:before="217" w:beforeLines="50" w:after="217" w:afterLines="50" w:line="360" w:lineRule="exact"/>
        <w:textAlignment w:val="auto"/>
        <w:rPr>
          <w:rStyle w:val="63"/>
          <w:rFonts w:ascii="Times New Roman"/>
        </w:rPr>
      </w:pPr>
      <w:r>
        <w:rPr>
          <w:rStyle w:val="63"/>
          <w:rFonts w:ascii="Times New Roman"/>
        </w:rPr>
        <w:t>监测项目</w:t>
      </w:r>
    </w:p>
    <w:p>
      <w:pPr>
        <w:pStyle w:val="62"/>
        <w:tabs>
          <w:tab w:val="center" w:pos="4201"/>
          <w:tab w:val="right" w:leader="dot" w:pos="9298"/>
        </w:tabs>
        <w:spacing w:line="360" w:lineRule="exact"/>
        <w:rPr>
          <w:rStyle w:val="63"/>
          <w:rFonts w:ascii="Times New Roman"/>
        </w:rPr>
      </w:pPr>
      <w:r>
        <w:rPr>
          <w:rStyle w:val="63"/>
          <w:rFonts w:ascii="Times New Roman"/>
        </w:rPr>
        <w:t>（1）土壤：必测项目按《土壤环境质量 建设用地土壤污染风险管控标准》（GB</w:t>
      </w:r>
      <w:r>
        <w:rPr>
          <w:rStyle w:val="63"/>
          <w:rFonts w:hint="eastAsia" w:ascii="Times New Roman"/>
          <w:lang w:val="en-US" w:eastAsia="zh-CN"/>
        </w:rPr>
        <w:t xml:space="preserve"> </w:t>
      </w:r>
      <w:r>
        <w:rPr>
          <w:rStyle w:val="63"/>
          <w:rFonts w:ascii="Times New Roman"/>
        </w:rPr>
        <w:t>36600）表1执行。选测项目应根据地块污染识别确定的特征污染物选取。</w:t>
      </w:r>
    </w:p>
    <w:p>
      <w:pPr>
        <w:pStyle w:val="62"/>
        <w:tabs>
          <w:tab w:val="center" w:pos="4201"/>
          <w:tab w:val="right" w:leader="dot" w:pos="9298"/>
        </w:tabs>
        <w:spacing w:line="360" w:lineRule="exact"/>
        <w:rPr>
          <w:rStyle w:val="63"/>
          <w:rFonts w:ascii="Times New Roman"/>
        </w:rPr>
      </w:pPr>
      <w:r>
        <w:rPr>
          <w:rStyle w:val="63"/>
          <w:rFonts w:ascii="Times New Roman"/>
        </w:rPr>
        <w:t>（2）地下水：地下水不设必测项目，监测项目应根据地块污染识别确定的特征污染物选取。</w:t>
      </w:r>
    </w:p>
    <w:p>
      <w:pPr>
        <w:pStyle w:val="62"/>
        <w:tabs>
          <w:tab w:val="center" w:pos="4201"/>
          <w:tab w:val="right" w:leader="dot" w:pos="9298"/>
        </w:tabs>
        <w:spacing w:line="360" w:lineRule="exact"/>
        <w:rPr>
          <w:rStyle w:val="63"/>
          <w:rFonts w:ascii="Times New Roman"/>
        </w:rPr>
      </w:pPr>
      <w:r>
        <w:rPr>
          <w:rStyle w:val="63"/>
          <w:rFonts w:ascii="Times New Roman"/>
        </w:rPr>
        <w:t>（3）底泥：参照土壤检测项目执行。</w:t>
      </w:r>
    </w:p>
    <w:p>
      <w:pPr>
        <w:pStyle w:val="62"/>
        <w:tabs>
          <w:tab w:val="center" w:pos="4201"/>
          <w:tab w:val="right" w:leader="dot" w:pos="9298"/>
        </w:tabs>
        <w:spacing w:line="360" w:lineRule="exact"/>
        <w:rPr>
          <w:rStyle w:val="63"/>
          <w:rFonts w:ascii="Times New Roman"/>
        </w:rPr>
      </w:pPr>
      <w:r>
        <w:rPr>
          <w:rStyle w:val="63"/>
          <w:rFonts w:ascii="Times New Roman"/>
        </w:rPr>
        <w:t>（4）地表水：参照地下水检测项目执行。</w:t>
      </w:r>
    </w:p>
    <w:p>
      <w:pPr>
        <w:pStyle w:val="62"/>
        <w:tabs>
          <w:tab w:val="center" w:pos="4201"/>
          <w:tab w:val="right" w:leader="dot" w:pos="9298"/>
        </w:tabs>
        <w:spacing w:line="360" w:lineRule="exact"/>
        <w:rPr>
          <w:rStyle w:val="63"/>
          <w:rFonts w:ascii="Times New Roman"/>
        </w:rPr>
      </w:pPr>
      <w:r>
        <w:rPr>
          <w:rStyle w:val="63"/>
          <w:rFonts w:ascii="Times New Roman"/>
        </w:rPr>
        <w:t>（5）残余废弃物：包括地块内遗留的生产原料、工业废渣，废弃化学品及其污染物，残留在废弃设施、容器及管道内的固态、半固态及液态物质，其他与当地土壤特征有明显区别的固态物质。</w:t>
      </w:r>
    </w:p>
    <w:p>
      <w:pPr>
        <w:pStyle w:val="62"/>
        <w:tabs>
          <w:tab w:val="center" w:pos="4201"/>
          <w:tab w:val="right" w:leader="dot" w:pos="9298"/>
        </w:tabs>
        <w:spacing w:line="360" w:lineRule="exact"/>
        <w:rPr>
          <w:rStyle w:val="63"/>
          <w:rFonts w:ascii="Times New Roman"/>
        </w:rPr>
      </w:pPr>
      <w:r>
        <w:rPr>
          <w:rStyle w:val="63"/>
          <w:rFonts w:ascii="Times New Roman"/>
        </w:rPr>
        <w:t>若地块利用历史复杂或涉及多个不同行业类型，监测项目应考虑历史上涉及到的所有特征污染物。</w:t>
      </w:r>
    </w:p>
    <w:p>
      <w:pPr>
        <w:pStyle w:val="66"/>
        <w:numPr>
          <w:ilvl w:val="2"/>
          <w:numId w:val="5"/>
        </w:numPr>
        <w:spacing w:before="217" w:beforeLines="50" w:after="217" w:afterLines="50" w:line="360" w:lineRule="exact"/>
        <w:textAlignment w:val="auto"/>
        <w:rPr>
          <w:rStyle w:val="63"/>
          <w:rFonts w:ascii="Times New Roman"/>
        </w:rPr>
      </w:pPr>
      <w:r>
        <w:rPr>
          <w:rStyle w:val="63"/>
          <w:rFonts w:ascii="Times New Roman"/>
        </w:rPr>
        <w:t>点位布设</w:t>
      </w:r>
    </w:p>
    <w:p>
      <w:pPr>
        <w:pStyle w:val="62"/>
        <w:tabs>
          <w:tab w:val="center" w:pos="4201"/>
          <w:tab w:val="right" w:leader="dot" w:pos="9298"/>
        </w:tabs>
        <w:spacing w:line="360" w:lineRule="exact"/>
        <w:rPr>
          <w:rStyle w:val="63"/>
          <w:rFonts w:ascii="Times New Roman"/>
        </w:rPr>
      </w:pPr>
      <w:r>
        <w:rPr>
          <w:rStyle w:val="63"/>
          <w:rFonts w:ascii="Times New Roman"/>
        </w:rPr>
        <w:t>（1）土壤点位布设</w:t>
      </w:r>
    </w:p>
    <w:p>
      <w:pPr>
        <w:pStyle w:val="62"/>
        <w:tabs>
          <w:tab w:val="center" w:pos="4201"/>
          <w:tab w:val="right" w:leader="dot" w:pos="9298"/>
        </w:tabs>
        <w:spacing w:line="360" w:lineRule="exact"/>
        <w:rPr>
          <w:rStyle w:val="63"/>
          <w:rFonts w:ascii="Times New Roman"/>
        </w:rPr>
      </w:pPr>
      <w:r>
        <w:rPr>
          <w:rStyle w:val="63"/>
          <w:rFonts w:ascii="Times New Roman"/>
        </w:rPr>
        <w:t xml:space="preserve">初步调查采样点可采用“专业判断+系统布点”原则布设，布设在重点区域和其他区域内的关键疑似污染位置。 </w:t>
      </w:r>
    </w:p>
    <w:p>
      <w:pPr>
        <w:pStyle w:val="62"/>
        <w:tabs>
          <w:tab w:val="center" w:pos="4201"/>
          <w:tab w:val="right" w:leader="dot" w:pos="9298"/>
        </w:tabs>
        <w:spacing w:line="360" w:lineRule="exact"/>
        <w:rPr>
          <w:rStyle w:val="63"/>
          <w:rFonts w:ascii="Times New Roman"/>
        </w:rPr>
      </w:pPr>
      <w:r>
        <w:rPr>
          <w:rStyle w:val="63"/>
          <w:rFonts w:ascii="Times New Roman"/>
        </w:rPr>
        <w:t>土壤监测点位数量应满足：地块面积≤5000 m</w:t>
      </w:r>
      <w:r>
        <w:rPr>
          <w:rStyle w:val="63"/>
          <w:rFonts w:ascii="Times New Roman"/>
          <w:vertAlign w:val="superscript"/>
        </w:rPr>
        <w:t>2</w:t>
      </w:r>
      <w:r>
        <w:rPr>
          <w:rStyle w:val="63"/>
          <w:rFonts w:ascii="Times New Roman"/>
        </w:rPr>
        <w:t>，土壤采样点位数不少于3个；地块面积＞5000 m</w:t>
      </w:r>
      <w:r>
        <w:rPr>
          <w:rStyle w:val="63"/>
          <w:rFonts w:ascii="Times New Roman"/>
          <w:vertAlign w:val="superscript"/>
        </w:rPr>
        <w:t>2</w:t>
      </w:r>
      <w:r>
        <w:rPr>
          <w:rStyle w:val="63"/>
          <w:rFonts w:ascii="Times New Roman"/>
        </w:rPr>
        <w:t>，土壤采样点位数不少于6个。国家出台新的技术规范要求的，按国家要求执行。</w:t>
      </w:r>
    </w:p>
    <w:p>
      <w:pPr>
        <w:pStyle w:val="62"/>
        <w:tabs>
          <w:tab w:val="center" w:pos="4201"/>
          <w:tab w:val="right" w:leader="dot" w:pos="9298"/>
        </w:tabs>
        <w:spacing w:line="360" w:lineRule="exact"/>
        <w:rPr>
          <w:rStyle w:val="63"/>
          <w:rFonts w:ascii="Times New Roman"/>
        </w:rPr>
      </w:pPr>
      <w:r>
        <w:rPr>
          <w:rStyle w:val="63"/>
          <w:rFonts w:ascii="Times New Roman"/>
        </w:rPr>
        <w:fldChar w:fldCharType="begin"/>
      </w:r>
      <w:r>
        <w:rPr>
          <w:rStyle w:val="63"/>
          <w:rFonts w:ascii="Times New Roman"/>
        </w:rPr>
        <w:instrText xml:space="preserve"> = 1 \* GB3 </w:instrText>
      </w:r>
      <w:r>
        <w:rPr>
          <w:rStyle w:val="63"/>
          <w:rFonts w:ascii="Times New Roman"/>
        </w:rPr>
        <w:fldChar w:fldCharType="separate"/>
      </w:r>
      <w:r>
        <w:rPr>
          <w:rStyle w:val="63"/>
          <w:rFonts w:ascii="Times New Roman"/>
        </w:rPr>
        <w:t>①</w:t>
      </w:r>
      <w:r>
        <w:rPr>
          <w:rStyle w:val="63"/>
          <w:rFonts w:ascii="Times New Roman"/>
        </w:rPr>
        <w:fldChar w:fldCharType="end"/>
      </w:r>
      <w:r>
        <w:rPr>
          <w:rStyle w:val="63"/>
          <w:rFonts w:ascii="Times New Roman"/>
        </w:rPr>
        <w:t>重点区域：</w:t>
      </w:r>
    </w:p>
    <w:p>
      <w:pPr>
        <w:pStyle w:val="62"/>
        <w:tabs>
          <w:tab w:val="center" w:pos="4201"/>
          <w:tab w:val="right" w:leader="dot" w:pos="9298"/>
        </w:tabs>
        <w:spacing w:line="360" w:lineRule="exact"/>
        <w:rPr>
          <w:rStyle w:val="63"/>
          <w:rFonts w:ascii="Times New Roman"/>
        </w:rPr>
      </w:pPr>
      <w:r>
        <w:rPr>
          <w:rStyle w:val="63"/>
          <w:rFonts w:ascii="Times New Roman"/>
        </w:rPr>
        <w:t>包括：</w:t>
      </w:r>
    </w:p>
    <w:p>
      <w:pPr>
        <w:pStyle w:val="62"/>
        <w:tabs>
          <w:tab w:val="center" w:pos="4201"/>
          <w:tab w:val="right" w:leader="dot" w:pos="9298"/>
        </w:tabs>
        <w:spacing w:line="360" w:lineRule="exact"/>
        <w:jc w:val="left"/>
        <w:rPr>
          <w:rStyle w:val="63"/>
          <w:rFonts w:ascii="Times New Roman"/>
        </w:rPr>
      </w:pPr>
      <w:r>
        <w:rPr>
          <w:rStyle w:val="63"/>
          <w:rFonts w:ascii="Times New Roman"/>
        </w:rPr>
        <w:t>a)涉及有毒有害物质的生产装置区和辅助设施区；</w:t>
      </w:r>
    </w:p>
    <w:p>
      <w:pPr>
        <w:pStyle w:val="62"/>
        <w:tabs>
          <w:tab w:val="center" w:pos="4201"/>
          <w:tab w:val="right" w:leader="dot" w:pos="9298"/>
        </w:tabs>
        <w:spacing w:line="360" w:lineRule="exact"/>
        <w:jc w:val="left"/>
        <w:rPr>
          <w:rStyle w:val="63"/>
          <w:rFonts w:ascii="Times New Roman"/>
        </w:rPr>
      </w:pPr>
      <w:r>
        <w:rPr>
          <w:rStyle w:val="63"/>
          <w:rFonts w:ascii="Times New Roman"/>
        </w:rPr>
        <w:t>b)涉及有毒有害物质的储槽、储罐等储存及装卸区域；</w:t>
      </w:r>
    </w:p>
    <w:p>
      <w:pPr>
        <w:pStyle w:val="62"/>
        <w:tabs>
          <w:tab w:val="center" w:pos="4201"/>
          <w:tab w:val="right" w:leader="dot" w:pos="9298"/>
        </w:tabs>
        <w:spacing w:line="360" w:lineRule="exact"/>
        <w:jc w:val="left"/>
        <w:rPr>
          <w:rStyle w:val="63"/>
          <w:rFonts w:ascii="Times New Roman"/>
        </w:rPr>
      </w:pPr>
      <w:r>
        <w:rPr>
          <w:rStyle w:val="63"/>
          <w:rFonts w:ascii="Times New Roman"/>
        </w:rPr>
        <w:t>c)有毒有害物质输送管廊、地下输送管线；</w:t>
      </w:r>
    </w:p>
    <w:p>
      <w:pPr>
        <w:pStyle w:val="62"/>
        <w:tabs>
          <w:tab w:val="center" w:pos="4201"/>
          <w:tab w:val="right" w:leader="dot" w:pos="9298"/>
        </w:tabs>
        <w:spacing w:line="360" w:lineRule="exact"/>
        <w:jc w:val="left"/>
        <w:rPr>
          <w:rStyle w:val="63"/>
          <w:rFonts w:ascii="Times New Roman"/>
        </w:rPr>
      </w:pPr>
      <w:r>
        <w:rPr>
          <w:rStyle w:val="63"/>
          <w:rFonts w:ascii="Times New Roman"/>
        </w:rPr>
        <w:t>d)污染处理设施区域；</w:t>
      </w:r>
    </w:p>
    <w:p>
      <w:pPr>
        <w:pStyle w:val="62"/>
        <w:tabs>
          <w:tab w:val="center" w:pos="4201"/>
          <w:tab w:val="right" w:leader="dot" w:pos="9298"/>
        </w:tabs>
        <w:spacing w:line="360" w:lineRule="exact"/>
        <w:jc w:val="left"/>
        <w:rPr>
          <w:rStyle w:val="63"/>
          <w:rFonts w:ascii="Times New Roman"/>
        </w:rPr>
      </w:pPr>
      <w:r>
        <w:rPr>
          <w:rStyle w:val="63"/>
          <w:rFonts w:ascii="Times New Roman"/>
        </w:rPr>
        <w:t>e)危险废物储存库；</w:t>
      </w:r>
    </w:p>
    <w:p>
      <w:pPr>
        <w:pStyle w:val="62"/>
        <w:tabs>
          <w:tab w:val="center" w:pos="4201"/>
          <w:tab w:val="right" w:leader="dot" w:pos="9298"/>
        </w:tabs>
        <w:spacing w:line="360" w:lineRule="exact"/>
        <w:jc w:val="left"/>
        <w:rPr>
          <w:rStyle w:val="63"/>
          <w:rFonts w:ascii="Times New Roman"/>
        </w:rPr>
      </w:pPr>
      <w:r>
        <w:rPr>
          <w:rStyle w:val="63"/>
          <w:rFonts w:ascii="Times New Roman"/>
        </w:rPr>
        <w:t>f)历史上可能存在地下填埋废渣的区域；</w:t>
      </w:r>
    </w:p>
    <w:p>
      <w:pPr>
        <w:pStyle w:val="62"/>
        <w:tabs>
          <w:tab w:val="center" w:pos="4201"/>
          <w:tab w:val="right" w:leader="dot" w:pos="9298"/>
        </w:tabs>
        <w:spacing w:line="360" w:lineRule="exact"/>
        <w:jc w:val="left"/>
        <w:rPr>
          <w:rStyle w:val="63"/>
          <w:rFonts w:ascii="Times New Roman"/>
        </w:rPr>
      </w:pPr>
      <w:r>
        <w:rPr>
          <w:rStyle w:val="63"/>
          <w:rFonts w:ascii="Times New Roman"/>
        </w:rPr>
        <w:t>g)污染事故影响区域；</w:t>
      </w:r>
    </w:p>
    <w:p>
      <w:pPr>
        <w:pStyle w:val="62"/>
        <w:tabs>
          <w:tab w:val="center" w:pos="4201"/>
          <w:tab w:val="right" w:leader="dot" w:pos="9298"/>
        </w:tabs>
        <w:spacing w:line="360" w:lineRule="exact"/>
        <w:jc w:val="left"/>
        <w:rPr>
          <w:rStyle w:val="63"/>
          <w:rFonts w:ascii="Times New Roman"/>
        </w:rPr>
      </w:pPr>
      <w:r>
        <w:rPr>
          <w:rStyle w:val="63"/>
          <w:rFonts w:ascii="Times New Roman"/>
        </w:rPr>
        <w:t>h)有异味、异色和明显污染痕迹的区域；</w:t>
      </w:r>
    </w:p>
    <w:p>
      <w:pPr>
        <w:pStyle w:val="62"/>
        <w:tabs>
          <w:tab w:val="center" w:pos="4201"/>
          <w:tab w:val="right" w:leader="dot" w:pos="9298"/>
        </w:tabs>
        <w:spacing w:line="360" w:lineRule="exact"/>
        <w:jc w:val="left"/>
        <w:rPr>
          <w:rStyle w:val="63"/>
          <w:rFonts w:ascii="Times New Roman"/>
        </w:rPr>
      </w:pPr>
      <w:r>
        <w:rPr>
          <w:rStyle w:val="63"/>
          <w:rFonts w:ascii="Times New Roman"/>
        </w:rPr>
        <w:t>i)其他涉及有毒有害物质的区域等。</w:t>
      </w:r>
    </w:p>
    <w:p>
      <w:pPr>
        <w:pStyle w:val="62"/>
        <w:tabs>
          <w:tab w:val="center" w:pos="4201"/>
          <w:tab w:val="right" w:leader="dot" w:pos="9298"/>
        </w:tabs>
        <w:spacing w:line="360" w:lineRule="exact"/>
        <w:rPr>
          <w:rStyle w:val="63"/>
          <w:rFonts w:ascii="Times New Roman"/>
        </w:rPr>
      </w:pPr>
      <w:r>
        <w:rPr>
          <w:rStyle w:val="63"/>
          <w:rFonts w:ascii="Times New Roman"/>
        </w:rPr>
        <w:t>重点区域应采用专业判断布点法和系统布点法布设采样点。专业判断布点法采样点应尽可能接近区域内的关键疑似污染位置；系统布点法应按正方形网格划分采样单元，在每个采样单元中布设采样点，采样密度保证单个采样单元面积原则上不超过1600 m</w:t>
      </w:r>
      <w:r>
        <w:rPr>
          <w:rStyle w:val="63"/>
          <w:rFonts w:ascii="Times New Roman"/>
          <w:vertAlign w:val="superscript"/>
        </w:rPr>
        <w:t>2</w:t>
      </w:r>
      <w:r>
        <w:rPr>
          <w:rStyle w:val="63"/>
          <w:rFonts w:ascii="Times New Roman"/>
        </w:rPr>
        <w:t>。当无法在疑似污染区域，特别是罐槽、污染设施等底部采样时，可作适当偏移。</w:t>
      </w:r>
    </w:p>
    <w:p>
      <w:pPr>
        <w:adjustRightInd w:val="0"/>
        <w:spacing w:line="360" w:lineRule="exact"/>
        <w:ind w:firstLine="420"/>
        <w:rPr>
          <w:rFonts w:cs="Times New Roman"/>
        </w:rPr>
      </w:pPr>
      <w:r>
        <w:rPr>
          <w:rStyle w:val="63"/>
          <w:rFonts w:eastAsia="宋体" w:cs="Times New Roman"/>
          <w:kern w:val="0"/>
          <w:sz w:val="21"/>
          <w:szCs w:val="20"/>
        </w:rPr>
        <w:fldChar w:fldCharType="begin"/>
      </w:r>
      <w:r>
        <w:rPr>
          <w:rStyle w:val="63"/>
          <w:rFonts w:eastAsia="宋体" w:cs="Times New Roman"/>
          <w:kern w:val="0"/>
          <w:sz w:val="21"/>
          <w:szCs w:val="20"/>
        </w:rPr>
        <w:instrText xml:space="preserve"> = 2 \* GB3 </w:instrText>
      </w:r>
      <w:r>
        <w:rPr>
          <w:rStyle w:val="63"/>
          <w:rFonts w:eastAsia="宋体" w:cs="Times New Roman"/>
          <w:kern w:val="0"/>
          <w:sz w:val="21"/>
          <w:szCs w:val="20"/>
        </w:rPr>
        <w:fldChar w:fldCharType="separate"/>
      </w:r>
      <w:r>
        <w:rPr>
          <w:rStyle w:val="63"/>
          <w:rFonts w:eastAsia="宋体" w:cs="Times New Roman"/>
          <w:kern w:val="0"/>
          <w:sz w:val="21"/>
          <w:szCs w:val="20"/>
        </w:rPr>
        <w:t>②</w:t>
      </w:r>
      <w:r>
        <w:rPr>
          <w:rStyle w:val="63"/>
          <w:rFonts w:eastAsia="宋体" w:cs="Times New Roman"/>
          <w:kern w:val="0"/>
          <w:sz w:val="21"/>
          <w:szCs w:val="20"/>
        </w:rPr>
        <w:fldChar w:fldCharType="end"/>
      </w:r>
      <w:r>
        <w:rPr>
          <w:rStyle w:val="63"/>
          <w:rFonts w:eastAsia="宋体" w:cs="Times New Roman"/>
          <w:kern w:val="0"/>
          <w:sz w:val="21"/>
          <w:szCs w:val="20"/>
        </w:rPr>
        <w:t>其他区域：对于历史上未包含上述重点区域建设内容且未发生过污染事故的生活和办公等其他区域，初步调查阶段可采取系统随机布点法和分区布点法，布设少量采样点位（采样单元原则上不超过100 m×100 m），面积＞5000 m</w:t>
      </w:r>
      <w:r>
        <w:rPr>
          <w:rStyle w:val="63"/>
          <w:rFonts w:eastAsia="宋体" w:cs="Times New Roman"/>
          <w:kern w:val="0"/>
          <w:sz w:val="21"/>
          <w:szCs w:val="20"/>
          <w:vertAlign w:val="superscript"/>
        </w:rPr>
        <w:t>2</w:t>
      </w:r>
      <w:r>
        <w:rPr>
          <w:rStyle w:val="63"/>
          <w:rFonts w:eastAsia="宋体" w:cs="Times New Roman"/>
          <w:kern w:val="0"/>
          <w:sz w:val="21"/>
          <w:szCs w:val="20"/>
        </w:rPr>
        <w:t>的，至少布设3个采样点位。</w:t>
      </w:r>
    </w:p>
    <w:p>
      <w:pPr>
        <w:adjustRightInd w:val="0"/>
        <w:spacing w:line="360" w:lineRule="exact"/>
        <w:ind w:firstLine="420"/>
        <w:rPr>
          <w:rStyle w:val="63"/>
          <w:rFonts w:eastAsia="宋体" w:cs="Times New Roman"/>
          <w:kern w:val="0"/>
          <w:sz w:val="21"/>
          <w:szCs w:val="20"/>
        </w:rPr>
      </w:pPr>
      <w:r>
        <w:rPr>
          <w:rStyle w:val="63"/>
          <w:rFonts w:eastAsia="宋体" w:cs="Times New Roman"/>
          <w:kern w:val="0"/>
          <w:sz w:val="21"/>
          <w:szCs w:val="20"/>
        </w:rPr>
        <w:t>（2）地下水点位布设</w:t>
      </w:r>
      <w:bookmarkStart w:id="42" w:name="_Hlk39654045"/>
    </w:p>
    <w:p>
      <w:pPr>
        <w:pStyle w:val="62"/>
        <w:tabs>
          <w:tab w:val="center" w:pos="4201"/>
          <w:tab w:val="right" w:leader="dot" w:pos="9298"/>
        </w:tabs>
        <w:spacing w:line="360" w:lineRule="exact"/>
        <w:rPr>
          <w:rStyle w:val="63"/>
          <w:rFonts w:ascii="Times New Roman"/>
        </w:rPr>
      </w:pPr>
      <w:r>
        <w:rPr>
          <w:rStyle w:val="63"/>
          <w:rFonts w:ascii="Times New Roman"/>
        </w:rPr>
        <w:t>①若已知地下水流向的，地下水采样点的布设应考虑地下水的流向、水力坡降、含水层渗透性、埋深和厚度等水文地质条件及污染源和污染物迁移转化等因素，在重点区域布设地下水监测点；若地下水流向未知，应结合相关污染信息，间隔一定距离按三角形或四边形布设3~4个地下水点位判断地下水流向。</w:t>
      </w:r>
    </w:p>
    <w:p>
      <w:pPr>
        <w:pStyle w:val="62"/>
        <w:tabs>
          <w:tab w:val="center" w:pos="4201"/>
          <w:tab w:val="right" w:leader="dot" w:pos="9298"/>
        </w:tabs>
        <w:spacing w:line="360" w:lineRule="exact"/>
        <w:rPr>
          <w:rStyle w:val="63"/>
          <w:rFonts w:ascii="Times New Roman"/>
        </w:rPr>
      </w:pPr>
      <w:r>
        <w:rPr>
          <w:rStyle w:val="63"/>
          <w:rFonts w:ascii="Times New Roman"/>
        </w:rPr>
        <w:t>②地下水监测点应以地下水流向为主，垂直地下水流向为辅布设监测点。监测点位应布设在地下水流向上下游、地下水疑似污染区域和垂直于地下水流方向调查区的两侧。若地块的面积较大，地下水污染较重且地下水较丰富，可在地下水上游和下游各增加1~2个监测井。</w:t>
      </w:r>
    </w:p>
    <w:p>
      <w:pPr>
        <w:pStyle w:val="62"/>
        <w:tabs>
          <w:tab w:val="center" w:pos="4201"/>
          <w:tab w:val="right" w:leader="dot" w:pos="9298"/>
        </w:tabs>
        <w:spacing w:line="360" w:lineRule="exact"/>
        <w:rPr>
          <w:rStyle w:val="63"/>
          <w:rFonts w:ascii="Times New Roman"/>
        </w:rPr>
      </w:pPr>
      <w:r>
        <w:rPr>
          <w:rStyle w:val="63"/>
          <w:rFonts w:ascii="Times New Roman"/>
        </w:rPr>
        <w:t>③地下水调查以浅层地下水为主，钻探深度应揭露至浅层地下水，但不穿透隔水层；若浅层地下水污染严重，且存在深层地下水时，可在做好分层止水前提下，分层增加一口深井至深层地下水；若地块调查至基岩或强风化层未发现地下水，该地块不再开展地下水调查，但报告中应提供完整的现场岩芯照片或佐证材料。</w:t>
      </w:r>
    </w:p>
    <w:p>
      <w:pPr>
        <w:pStyle w:val="62"/>
        <w:tabs>
          <w:tab w:val="center" w:pos="4201"/>
          <w:tab w:val="right" w:leader="dot" w:pos="9298"/>
        </w:tabs>
        <w:spacing w:line="360" w:lineRule="exact"/>
        <w:rPr>
          <w:rStyle w:val="63"/>
          <w:rFonts w:ascii="Times New Roman"/>
        </w:rPr>
      </w:pPr>
      <w:r>
        <w:rPr>
          <w:rStyle w:val="63"/>
          <w:rFonts w:ascii="Times New Roman"/>
        </w:rPr>
        <w:t>④一般情况下，可在地下水流向上游的一定距离设置对照监测井。对于地块内现有地下水监测井，如果符合地下水环境监测技术规范，则可以作为地下水的取样点或对照点。</w:t>
      </w:r>
    </w:p>
    <w:bookmarkEnd w:id="42"/>
    <w:p>
      <w:pPr>
        <w:pStyle w:val="62"/>
        <w:tabs>
          <w:tab w:val="center" w:pos="4201"/>
          <w:tab w:val="right" w:leader="dot" w:pos="9298"/>
        </w:tabs>
        <w:spacing w:line="360" w:lineRule="exact"/>
        <w:rPr>
          <w:rStyle w:val="63"/>
          <w:rFonts w:ascii="Times New Roman"/>
        </w:rPr>
      </w:pPr>
      <w:r>
        <w:rPr>
          <w:rStyle w:val="63"/>
          <w:rFonts w:ascii="Times New Roman"/>
        </w:rPr>
        <w:t>地下水监测井建井和洗井应遵循表1-2的要求：</w:t>
      </w:r>
    </w:p>
    <w:p>
      <w:pPr>
        <w:pStyle w:val="67"/>
        <w:pageBreakBefore/>
        <w:numPr>
          <w:ilvl w:val="0"/>
          <w:numId w:val="0"/>
        </w:numPr>
        <w:tabs>
          <w:tab w:val="left" w:pos="360"/>
        </w:tabs>
        <w:spacing w:before="0" w:after="0" w:line="360" w:lineRule="exact"/>
        <w:textAlignment w:val="auto"/>
        <w:rPr>
          <w:rStyle w:val="63"/>
          <w:rFonts w:ascii="Times New Roman"/>
        </w:rPr>
      </w:pPr>
      <w:r>
        <w:rPr>
          <w:rStyle w:val="63"/>
          <w:rFonts w:ascii="Times New Roman"/>
        </w:rPr>
        <w:t>表1-2  地下水监测井建井洗井要求</w:t>
      </w:r>
    </w:p>
    <w:tbl>
      <w:tblPr>
        <w:tblStyle w:val="18"/>
        <w:tblW w:w="94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1134"/>
        <w:gridCol w:w="77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trPr>
        <w:tc>
          <w:tcPr>
            <w:tcW w:w="534"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序号</w:t>
            </w:r>
          </w:p>
        </w:tc>
        <w:tc>
          <w:tcPr>
            <w:tcW w:w="1134"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工作</w:t>
            </w:r>
          </w:p>
          <w:p>
            <w:pPr>
              <w:adjustRightInd w:val="0"/>
              <w:spacing w:line="360" w:lineRule="exact"/>
              <w:ind w:firstLine="0" w:firstLineChars="0"/>
              <w:jc w:val="center"/>
              <w:rPr>
                <w:rFonts w:eastAsia="宋体" w:cs="Times New Roman"/>
                <w:sz w:val="18"/>
                <w:szCs w:val="18"/>
              </w:rPr>
            </w:pPr>
            <w:r>
              <w:rPr>
                <w:rFonts w:eastAsia="宋体" w:cs="Times New Roman"/>
                <w:sz w:val="18"/>
                <w:szCs w:val="18"/>
              </w:rPr>
              <w:t>步骤</w:t>
            </w:r>
          </w:p>
        </w:tc>
        <w:tc>
          <w:tcPr>
            <w:tcW w:w="7762"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360"/>
              <w:jc w:val="center"/>
              <w:rPr>
                <w:rFonts w:eastAsia="宋体" w:cs="Times New Roman"/>
                <w:sz w:val="18"/>
                <w:szCs w:val="18"/>
              </w:rPr>
            </w:pPr>
            <w:r>
              <w:rPr>
                <w:rFonts w:eastAsia="宋体" w:cs="Times New Roman"/>
                <w:sz w:val="18"/>
                <w:szCs w:val="18"/>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w:t>
            </w:r>
          </w:p>
        </w:tc>
        <w:tc>
          <w:tcPr>
            <w:tcW w:w="1134"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监测井建井</w:t>
            </w:r>
          </w:p>
        </w:tc>
        <w:tc>
          <w:tcPr>
            <w:tcW w:w="7762"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0" w:firstLineChars="0"/>
              <w:rPr>
                <w:rFonts w:eastAsia="宋体" w:cs="Times New Roman"/>
                <w:sz w:val="18"/>
                <w:szCs w:val="18"/>
              </w:rPr>
            </w:pPr>
            <w:r>
              <w:rPr>
                <w:rFonts w:eastAsia="宋体" w:cs="Times New Roman"/>
                <w:sz w:val="18"/>
                <w:szCs w:val="18"/>
              </w:rPr>
              <w:t>井管材料要有一定的强度，耐腐蚀，对地下水无污染。监测井井管内径不宜小于10 cm，以能够满足洗井和取水要求的口径为准。井管连接不应使用有机粘接剂。监测井可根据实际情况设置为平台式或者隐蔽式监测井，安装保护盖，并设置标示牌注明相关信息。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w:t>
            </w: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洗井</w:t>
            </w:r>
          </w:p>
        </w:tc>
        <w:tc>
          <w:tcPr>
            <w:tcW w:w="7762"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0" w:firstLineChars="0"/>
              <w:rPr>
                <w:rFonts w:eastAsia="宋体" w:cs="Times New Roman"/>
                <w:sz w:val="18"/>
                <w:szCs w:val="18"/>
              </w:rPr>
            </w:pPr>
            <w:r>
              <w:rPr>
                <w:rFonts w:eastAsia="宋体" w:cs="Times New Roman"/>
                <w:sz w:val="18"/>
                <w:szCs w:val="18"/>
              </w:rPr>
              <w:t>1、建井后洗井：监测井建成后至少稳定24 h后洗井，洗井产生的水用专用容器收集，洗井水体积达到3倍以上井内水体积，pH值、电导率及浊度连续三次测定值稳定。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360" w:lineRule="exact"/>
              <w:ind w:firstLine="360"/>
              <w:jc w:val="center"/>
              <w:rPr>
                <w:rFonts w:eastAsia="宋体" w:cs="Times New Roman"/>
                <w:sz w:val="18"/>
                <w:szCs w:val="18"/>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pacing w:line="360" w:lineRule="exact"/>
              <w:ind w:firstLine="360"/>
              <w:jc w:val="center"/>
              <w:rPr>
                <w:rFonts w:eastAsia="宋体" w:cs="Times New Roman"/>
                <w:sz w:val="18"/>
                <w:szCs w:val="18"/>
              </w:rPr>
            </w:pPr>
          </w:p>
        </w:tc>
        <w:tc>
          <w:tcPr>
            <w:tcW w:w="7762"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exact"/>
              <w:ind w:firstLine="0" w:firstLineChars="0"/>
              <w:rPr>
                <w:rFonts w:eastAsia="宋体" w:cs="Times New Roman"/>
                <w:sz w:val="18"/>
                <w:szCs w:val="18"/>
              </w:rPr>
            </w:pPr>
            <w:r>
              <w:rPr>
                <w:rFonts w:eastAsia="宋体" w:cs="Times New Roman"/>
                <w:sz w:val="18"/>
                <w:szCs w:val="18"/>
              </w:rPr>
              <w:t>2、采样前洗井：成井洗井后24 h后进行。在现场使用便携式水质测定仪对出水进行测定，浊度小于或等于10 NTU时或者当浊度连续三次测定的变化在10 %以内、电导率连续三次测定的变化在10 %以内、pH连续三次测定的变化在±0.1 pH以内；或洗井抽出水量在井内水体积的</w:t>
            </w:r>
            <w:r>
              <w:rPr>
                <w:rFonts w:hint="eastAsia" w:eastAsia="宋体" w:cs="Times New Roman"/>
                <w:sz w:val="18"/>
                <w:szCs w:val="18"/>
              </w:rPr>
              <w:t>3</w:t>
            </w:r>
            <w:r>
              <w:rPr>
                <w:rFonts w:eastAsia="宋体" w:cs="Times New Roman"/>
                <w:sz w:val="18"/>
                <w:szCs w:val="18"/>
              </w:rPr>
              <w:t>倍以上。</w:t>
            </w:r>
          </w:p>
        </w:tc>
      </w:tr>
    </w:tbl>
    <w:p>
      <w:pPr>
        <w:pStyle w:val="62"/>
        <w:tabs>
          <w:tab w:val="center" w:pos="4201"/>
          <w:tab w:val="right" w:leader="dot" w:pos="9298"/>
        </w:tabs>
        <w:spacing w:line="360" w:lineRule="exact"/>
        <w:rPr>
          <w:rStyle w:val="63"/>
          <w:rFonts w:ascii="Times New Roman"/>
        </w:rPr>
      </w:pPr>
      <w:r>
        <w:rPr>
          <w:rStyle w:val="63"/>
          <w:rFonts w:ascii="Times New Roman"/>
        </w:rPr>
        <w:t>（3）地表水点位布设</w:t>
      </w:r>
    </w:p>
    <w:p>
      <w:pPr>
        <w:pStyle w:val="62"/>
        <w:tabs>
          <w:tab w:val="center" w:pos="4201"/>
          <w:tab w:val="right" w:leader="dot" w:pos="9298"/>
        </w:tabs>
        <w:spacing w:line="360" w:lineRule="exact"/>
        <w:rPr>
          <w:rStyle w:val="63"/>
          <w:rFonts w:ascii="Times New Roman"/>
        </w:rPr>
      </w:pPr>
      <w:r>
        <w:rPr>
          <w:rStyle w:val="63"/>
          <w:rFonts w:ascii="Times New Roman"/>
        </w:rPr>
        <w:t>如果地块内存在地表水，则在疑似污染严重的位置布设采样点。</w:t>
      </w:r>
    </w:p>
    <w:p>
      <w:pPr>
        <w:pStyle w:val="62"/>
        <w:tabs>
          <w:tab w:val="center" w:pos="4201"/>
          <w:tab w:val="right" w:leader="dot" w:pos="9298"/>
        </w:tabs>
        <w:spacing w:line="360" w:lineRule="exact"/>
        <w:rPr>
          <w:rStyle w:val="63"/>
          <w:rFonts w:ascii="Times New Roman"/>
        </w:rPr>
      </w:pPr>
      <w:r>
        <w:rPr>
          <w:rStyle w:val="63"/>
          <w:rFonts w:ascii="Times New Roman"/>
        </w:rPr>
        <w:t>（4）底泥点位布设</w:t>
      </w:r>
    </w:p>
    <w:p>
      <w:pPr>
        <w:pStyle w:val="62"/>
        <w:tabs>
          <w:tab w:val="center" w:pos="4201"/>
          <w:tab w:val="right" w:leader="dot" w:pos="9298"/>
        </w:tabs>
        <w:spacing w:line="360" w:lineRule="exact"/>
        <w:rPr>
          <w:rStyle w:val="63"/>
          <w:rFonts w:ascii="Times New Roman"/>
        </w:rPr>
      </w:pPr>
      <w:r>
        <w:rPr>
          <w:rStyle w:val="63"/>
          <w:rFonts w:ascii="Times New Roman"/>
        </w:rPr>
        <w:t>底泥样品在地表水点位进行布设。</w:t>
      </w:r>
    </w:p>
    <w:p>
      <w:pPr>
        <w:pStyle w:val="62"/>
        <w:tabs>
          <w:tab w:val="center" w:pos="4201"/>
          <w:tab w:val="right" w:leader="dot" w:pos="9298"/>
        </w:tabs>
        <w:spacing w:line="360" w:lineRule="exact"/>
        <w:rPr>
          <w:rStyle w:val="63"/>
          <w:rFonts w:ascii="Times New Roman"/>
        </w:rPr>
      </w:pPr>
      <w:r>
        <w:rPr>
          <w:rStyle w:val="63"/>
          <w:rFonts w:ascii="Times New Roman"/>
        </w:rPr>
        <w:t>（5）残余废弃物</w:t>
      </w:r>
    </w:p>
    <w:p>
      <w:pPr>
        <w:pStyle w:val="62"/>
        <w:tabs>
          <w:tab w:val="center" w:pos="4201"/>
          <w:tab w:val="right" w:leader="dot" w:pos="9298"/>
        </w:tabs>
        <w:spacing w:line="360" w:lineRule="exact"/>
        <w:rPr>
          <w:rStyle w:val="63"/>
          <w:rFonts w:ascii="Times New Roman"/>
        </w:rPr>
      </w:pPr>
      <w:r>
        <w:rPr>
          <w:rStyle w:val="63"/>
          <w:rFonts w:ascii="Times New Roman"/>
        </w:rPr>
        <w:t>在疑似为危险废物的残余废弃物及与当地土壤特征有明显区别的可疑物质所在区域进行布点，布点要求参照《危险废物鉴别技术规范》（HJ 298）进行。</w:t>
      </w:r>
    </w:p>
    <w:p>
      <w:pPr>
        <w:pStyle w:val="3"/>
        <w:numPr>
          <w:ilvl w:val="1"/>
          <w:numId w:val="5"/>
        </w:numPr>
        <w:spacing w:before="120" w:after="120" w:line="360" w:lineRule="exact"/>
        <w:rPr>
          <w:rFonts w:cs="Times New Roman"/>
        </w:rPr>
      </w:pPr>
      <w:bookmarkStart w:id="43" w:name="_Toc10688"/>
      <w:bookmarkStart w:id="44" w:name="_Toc25203"/>
      <w:r>
        <w:rPr>
          <w:rFonts w:cs="Times New Roman"/>
        </w:rPr>
        <w:t>详细调查监测方案</w:t>
      </w:r>
      <w:bookmarkEnd w:id="43"/>
      <w:bookmarkEnd w:id="44"/>
    </w:p>
    <w:p>
      <w:pPr>
        <w:pStyle w:val="66"/>
        <w:numPr>
          <w:ilvl w:val="2"/>
          <w:numId w:val="5"/>
        </w:numPr>
        <w:spacing w:before="217" w:beforeLines="50" w:after="217" w:afterLines="50" w:line="360" w:lineRule="exact"/>
        <w:textAlignment w:val="auto"/>
        <w:rPr>
          <w:rStyle w:val="63"/>
          <w:rFonts w:ascii="Times New Roman"/>
        </w:rPr>
      </w:pPr>
      <w:r>
        <w:rPr>
          <w:rStyle w:val="63"/>
          <w:rFonts w:ascii="Times New Roman"/>
        </w:rPr>
        <w:t>调查范围</w:t>
      </w:r>
    </w:p>
    <w:p>
      <w:pPr>
        <w:pStyle w:val="62"/>
        <w:tabs>
          <w:tab w:val="center" w:pos="4201"/>
          <w:tab w:val="right" w:leader="dot" w:pos="9298"/>
        </w:tabs>
        <w:spacing w:line="360" w:lineRule="exact"/>
        <w:rPr>
          <w:rStyle w:val="63"/>
          <w:rFonts w:ascii="Times New Roman"/>
        </w:rPr>
      </w:pPr>
      <w:r>
        <w:rPr>
          <w:rStyle w:val="63"/>
          <w:rFonts w:ascii="Times New Roman"/>
        </w:rPr>
        <w:t>详细调查监测工作范围为初步调查监测中污染物含量超过相关标准的监测区域。</w:t>
      </w:r>
    </w:p>
    <w:p>
      <w:pPr>
        <w:pStyle w:val="66"/>
        <w:numPr>
          <w:ilvl w:val="2"/>
          <w:numId w:val="5"/>
        </w:numPr>
        <w:spacing w:before="217" w:beforeLines="50" w:after="217" w:afterLines="50" w:line="360" w:lineRule="exact"/>
        <w:textAlignment w:val="auto"/>
        <w:rPr>
          <w:rStyle w:val="63"/>
          <w:rFonts w:ascii="Times New Roman"/>
        </w:rPr>
      </w:pPr>
      <w:r>
        <w:rPr>
          <w:rStyle w:val="63"/>
          <w:rFonts w:ascii="Times New Roman"/>
        </w:rPr>
        <w:t>监测介质</w:t>
      </w:r>
    </w:p>
    <w:p>
      <w:pPr>
        <w:pStyle w:val="62"/>
        <w:tabs>
          <w:tab w:val="center" w:pos="4201"/>
          <w:tab w:val="right" w:leader="dot" w:pos="9298"/>
        </w:tabs>
        <w:spacing w:line="360" w:lineRule="exact"/>
        <w:rPr>
          <w:rStyle w:val="63"/>
          <w:rFonts w:ascii="Times New Roman"/>
        </w:rPr>
      </w:pPr>
      <w:r>
        <w:rPr>
          <w:rStyle w:val="63"/>
          <w:rFonts w:ascii="Times New Roman"/>
        </w:rPr>
        <w:t>监测介质为初步调查中发现存在超标的环境介质。</w:t>
      </w:r>
    </w:p>
    <w:p>
      <w:pPr>
        <w:pStyle w:val="66"/>
        <w:numPr>
          <w:ilvl w:val="2"/>
          <w:numId w:val="5"/>
        </w:numPr>
        <w:spacing w:before="217" w:beforeLines="50" w:after="217" w:afterLines="50" w:line="360" w:lineRule="exact"/>
        <w:textAlignment w:val="auto"/>
        <w:rPr>
          <w:rStyle w:val="63"/>
          <w:rFonts w:ascii="Times New Roman"/>
        </w:rPr>
      </w:pPr>
      <w:r>
        <w:rPr>
          <w:rStyle w:val="63"/>
          <w:rFonts w:ascii="Times New Roman"/>
        </w:rPr>
        <w:t>监测项目</w:t>
      </w:r>
    </w:p>
    <w:p>
      <w:pPr>
        <w:pStyle w:val="62"/>
        <w:tabs>
          <w:tab w:val="center" w:pos="4201"/>
          <w:tab w:val="right" w:leader="dot" w:pos="9298"/>
        </w:tabs>
        <w:spacing w:line="360" w:lineRule="exact"/>
        <w:rPr>
          <w:rStyle w:val="63"/>
          <w:rFonts w:ascii="Times New Roman"/>
        </w:rPr>
      </w:pPr>
      <w:r>
        <w:rPr>
          <w:rStyle w:val="63"/>
          <w:rFonts w:ascii="Times New Roman"/>
        </w:rPr>
        <w:t>监测项目应包含初步调查确定的地块土壤和地下水超标污染物，以及其他环境介质（地表水和底泥）中的超标污染物。</w:t>
      </w:r>
    </w:p>
    <w:p>
      <w:pPr>
        <w:pStyle w:val="66"/>
        <w:numPr>
          <w:ilvl w:val="2"/>
          <w:numId w:val="5"/>
        </w:numPr>
        <w:spacing w:before="217" w:beforeLines="50" w:after="217" w:afterLines="50" w:line="360" w:lineRule="exact"/>
        <w:textAlignment w:val="auto"/>
        <w:rPr>
          <w:rStyle w:val="63"/>
          <w:rFonts w:ascii="Times New Roman"/>
        </w:rPr>
      </w:pPr>
      <w:r>
        <w:rPr>
          <w:rStyle w:val="63"/>
          <w:rFonts w:ascii="Times New Roman"/>
        </w:rPr>
        <w:t>土壤点位布设</w:t>
      </w:r>
    </w:p>
    <w:p>
      <w:pPr>
        <w:pStyle w:val="62"/>
        <w:tabs>
          <w:tab w:val="center" w:pos="4201"/>
          <w:tab w:val="right" w:leader="dot" w:pos="9298"/>
        </w:tabs>
        <w:spacing w:line="360" w:lineRule="exact"/>
        <w:rPr>
          <w:rStyle w:val="63"/>
          <w:rFonts w:ascii="Times New Roman"/>
        </w:rPr>
      </w:pPr>
      <w:r>
        <w:rPr>
          <w:rStyle w:val="63"/>
          <w:rFonts w:ascii="Times New Roman"/>
        </w:rPr>
        <w:t>采用系统布点法对初步调查中确定的污染区域开展加密调查，原则上土壤点位每400 m</w:t>
      </w:r>
      <w:r>
        <w:rPr>
          <w:rStyle w:val="63"/>
          <w:rFonts w:ascii="Times New Roman"/>
          <w:vertAlign w:val="superscript"/>
        </w:rPr>
        <w:t>2</w:t>
      </w:r>
      <w:r>
        <w:rPr>
          <w:rStyle w:val="63"/>
          <w:rFonts w:ascii="Times New Roman"/>
        </w:rPr>
        <w:t xml:space="preserve"> （20 m × 20 m网格）不少于1个。</w:t>
      </w:r>
      <w:r>
        <w:rPr>
          <w:rStyle w:val="63"/>
          <w:rFonts w:ascii="Times New Roman"/>
          <w:lang w:val="en"/>
        </w:rPr>
        <w:t>其他区域每1600m</w:t>
      </w:r>
      <w:r>
        <w:rPr>
          <w:rStyle w:val="63"/>
          <w:rFonts w:ascii="Times New Roman"/>
          <w:vertAlign w:val="superscript"/>
          <w:lang w:val="en"/>
        </w:rPr>
        <w:t>2</w:t>
      </w:r>
      <w:r>
        <w:rPr>
          <w:rStyle w:val="63"/>
          <w:rFonts w:ascii="Times New Roman"/>
        </w:rPr>
        <w:t>（40 m × 40 m网格）</w:t>
      </w:r>
      <w:r>
        <w:rPr>
          <w:rStyle w:val="63"/>
          <w:rFonts w:ascii="Times New Roman"/>
          <w:lang w:val="en"/>
        </w:rPr>
        <w:t>不少于1个。有污染历史复杂、水文地质条件复杂或者信息缺失严重的区域可根据实际情况增加布设点位。</w:t>
      </w:r>
    </w:p>
    <w:p>
      <w:pPr>
        <w:pStyle w:val="66"/>
        <w:numPr>
          <w:ilvl w:val="2"/>
          <w:numId w:val="5"/>
        </w:numPr>
        <w:spacing w:before="217" w:beforeLines="50" w:after="217" w:afterLines="50" w:line="360" w:lineRule="exact"/>
        <w:textAlignment w:val="auto"/>
        <w:rPr>
          <w:rStyle w:val="63"/>
          <w:rFonts w:ascii="Times New Roman"/>
        </w:rPr>
      </w:pPr>
      <w:r>
        <w:rPr>
          <w:rStyle w:val="63"/>
          <w:rFonts w:ascii="Times New Roman"/>
        </w:rPr>
        <w:t>地下水点位布设</w:t>
      </w:r>
    </w:p>
    <w:p>
      <w:pPr>
        <w:pStyle w:val="62"/>
        <w:tabs>
          <w:tab w:val="center" w:pos="4201"/>
          <w:tab w:val="right" w:leader="dot" w:pos="9298"/>
        </w:tabs>
        <w:spacing w:line="360" w:lineRule="exact"/>
        <w:rPr>
          <w:rStyle w:val="63"/>
          <w:rFonts w:ascii="Times New Roman"/>
        </w:rPr>
      </w:pPr>
      <w:r>
        <w:rPr>
          <w:rStyle w:val="63"/>
          <w:rFonts w:ascii="Times New Roman"/>
        </w:rPr>
        <w:t>原则上在初步调查确定的污染区域加密布点，地下水采样点位数原则上每6400 m</w:t>
      </w:r>
      <w:r>
        <w:rPr>
          <w:rStyle w:val="63"/>
          <w:rFonts w:ascii="Times New Roman"/>
          <w:vertAlign w:val="superscript"/>
        </w:rPr>
        <w:t>2</w:t>
      </w:r>
      <w:r>
        <w:rPr>
          <w:rStyle w:val="63"/>
          <w:rFonts w:ascii="Times New Roman"/>
        </w:rPr>
        <w:t>（80 m×80 m）不少于1个，也可根据实际情况布设点位。</w:t>
      </w:r>
    </w:p>
    <w:p>
      <w:pPr>
        <w:pStyle w:val="3"/>
        <w:numPr>
          <w:ilvl w:val="0"/>
          <w:numId w:val="5"/>
        </w:numPr>
        <w:tabs>
          <w:tab w:val="left" w:pos="420"/>
        </w:tabs>
        <w:spacing w:before="240" w:after="240" w:line="360" w:lineRule="exact"/>
        <w:rPr>
          <w:rFonts w:cs="Times New Roman"/>
        </w:rPr>
      </w:pPr>
      <w:bookmarkStart w:id="45" w:name="_Toc5086"/>
      <w:bookmarkStart w:id="46" w:name="_Toc9405"/>
      <w:r>
        <w:rPr>
          <w:rFonts w:cs="Times New Roman"/>
        </w:rPr>
        <w:t>水文地质调查</w:t>
      </w:r>
      <w:bookmarkEnd w:id="45"/>
      <w:bookmarkEnd w:id="46"/>
    </w:p>
    <w:p>
      <w:pPr>
        <w:pStyle w:val="62"/>
        <w:tabs>
          <w:tab w:val="center" w:pos="4201"/>
          <w:tab w:val="right" w:leader="dot" w:pos="9298"/>
        </w:tabs>
        <w:spacing w:line="360" w:lineRule="exact"/>
        <w:rPr>
          <w:rStyle w:val="63"/>
          <w:rFonts w:ascii="Times New Roman"/>
        </w:rPr>
      </w:pPr>
      <w:r>
        <w:rPr>
          <w:rStyle w:val="63"/>
          <w:rFonts w:ascii="Times New Roman"/>
        </w:rPr>
        <w:t>初步调查阶段水文地质调查以资料收集为主，并结合现场勘查初步确定地块地层分布、土壤岩性、地下水埋深等内容。</w:t>
      </w:r>
    </w:p>
    <w:p>
      <w:pPr>
        <w:pStyle w:val="62"/>
        <w:tabs>
          <w:tab w:val="center" w:pos="4201"/>
          <w:tab w:val="right" w:leader="dot" w:pos="9298"/>
        </w:tabs>
        <w:spacing w:line="360" w:lineRule="exact"/>
        <w:rPr>
          <w:rStyle w:val="63"/>
          <w:rFonts w:ascii="Times New Roman"/>
        </w:rPr>
      </w:pPr>
      <w:r>
        <w:rPr>
          <w:rStyle w:val="63"/>
          <w:rFonts w:ascii="Times New Roman"/>
        </w:rPr>
        <w:t>详细调查阶段水文地质调查应包括地层结构、分布、地下水埋深、水力梯度、地下水流速及流向等内容；土壤理化样品应检测土壤pH、粒径分布、土壤容重、土壤密度、含水率、饱和度、孔隙度、有机质含量、渗透系数（横向/纵向）等指标。按照地下水采样点位，结合环境物探、勘察基本确定调查区水文地质条件，如包气带、含水岩组的岩性结构、厚度与分布、边界条件，基本摸清调查对象周边地下水补径排条件。应在地块内均匀布设不少于3个水文地质勘探点，地势特点差异大的地块应适当做加密布点。</w:t>
      </w:r>
    </w:p>
    <w:p>
      <w:pPr>
        <w:pStyle w:val="3"/>
        <w:numPr>
          <w:ilvl w:val="0"/>
          <w:numId w:val="5"/>
        </w:numPr>
        <w:tabs>
          <w:tab w:val="left" w:pos="420"/>
        </w:tabs>
        <w:spacing w:before="240" w:after="240" w:line="360" w:lineRule="exact"/>
        <w:rPr>
          <w:rFonts w:cs="Times New Roman"/>
        </w:rPr>
      </w:pPr>
      <w:bookmarkStart w:id="47" w:name="_Toc12163"/>
      <w:bookmarkStart w:id="48" w:name="_Toc17951"/>
      <w:r>
        <w:rPr>
          <w:rFonts w:cs="Times New Roman"/>
        </w:rPr>
        <w:t>样品采集与分析</w:t>
      </w:r>
      <w:bookmarkEnd w:id="47"/>
      <w:bookmarkEnd w:id="48"/>
    </w:p>
    <w:p>
      <w:pPr>
        <w:pStyle w:val="3"/>
        <w:numPr>
          <w:ilvl w:val="1"/>
          <w:numId w:val="5"/>
        </w:numPr>
        <w:spacing w:before="120" w:after="120" w:line="360" w:lineRule="exact"/>
        <w:rPr>
          <w:rFonts w:cs="Times New Roman"/>
        </w:rPr>
      </w:pPr>
      <w:bookmarkStart w:id="49" w:name="_Toc31491"/>
      <w:bookmarkStart w:id="50" w:name="_Toc27945"/>
      <w:r>
        <w:rPr>
          <w:rFonts w:cs="Times New Roman"/>
        </w:rPr>
        <w:t>土壤样品采集</w:t>
      </w:r>
      <w:bookmarkEnd w:id="49"/>
      <w:bookmarkEnd w:id="50"/>
    </w:p>
    <w:p>
      <w:pPr>
        <w:pStyle w:val="62"/>
        <w:tabs>
          <w:tab w:val="center" w:pos="4201"/>
          <w:tab w:val="right" w:leader="dot" w:pos="9298"/>
        </w:tabs>
        <w:spacing w:line="360" w:lineRule="exact"/>
        <w:rPr>
          <w:rStyle w:val="63"/>
          <w:rFonts w:ascii="Times New Roman"/>
        </w:rPr>
      </w:pPr>
      <w:bookmarkStart w:id="51" w:name="_Hlk42765826"/>
      <w:r>
        <w:rPr>
          <w:rStyle w:val="63"/>
          <w:rFonts w:ascii="Times New Roman"/>
        </w:rPr>
        <w:t>非扰动采样，一般应采集表层土壤、下层土壤以及饱和带土壤。对于地下水位较浅，无法采集下层土壤的点位，可分两层采样，分别采集表层土壤和饱和带土壤；根据地块地层实际情况确定最大采样深度。</w:t>
      </w:r>
    </w:p>
    <w:p>
      <w:pPr>
        <w:pStyle w:val="62"/>
        <w:tabs>
          <w:tab w:val="center" w:pos="4201"/>
          <w:tab w:val="right" w:leader="dot" w:pos="9298"/>
        </w:tabs>
        <w:spacing w:line="360" w:lineRule="exact"/>
        <w:rPr>
          <w:rStyle w:val="63"/>
          <w:rFonts w:ascii="Times New Roman"/>
        </w:rPr>
      </w:pPr>
      <w:r>
        <w:rPr>
          <w:rStyle w:val="63"/>
          <w:rFonts w:ascii="Times New Roman"/>
        </w:rPr>
        <w:t>每个土壤钻孔原则上采集不少于3个样品进行实验室分析，对于发现有污染痕迹的点位，应增加送检样品的数量。土壤样品采集和送检原则如下：</w:t>
      </w:r>
    </w:p>
    <w:p>
      <w:pPr>
        <w:pStyle w:val="62"/>
        <w:tabs>
          <w:tab w:val="center" w:pos="4201"/>
          <w:tab w:val="right" w:leader="dot" w:pos="9298"/>
        </w:tabs>
        <w:spacing w:line="360" w:lineRule="exact"/>
        <w:rPr>
          <w:rStyle w:val="63"/>
          <w:rFonts w:ascii="Times New Roman"/>
        </w:rPr>
      </w:pPr>
      <w:r>
        <w:rPr>
          <w:rStyle w:val="63"/>
          <w:rFonts w:ascii="Times New Roman"/>
        </w:rPr>
        <w:t>（1）表层土壤：一般应在0~0.5 m采集和送检1个样品。地面存在硬化层（如混凝土、沥青、石材、面砖）的，计量采样深度时应扣除硬化层厚度。</w:t>
      </w:r>
    </w:p>
    <w:p>
      <w:pPr>
        <w:pStyle w:val="62"/>
        <w:tabs>
          <w:tab w:val="center" w:pos="4201"/>
          <w:tab w:val="right" w:leader="dot" w:pos="9298"/>
        </w:tabs>
        <w:spacing w:line="360" w:lineRule="exact"/>
        <w:rPr>
          <w:rStyle w:val="63"/>
          <w:rFonts w:ascii="Times New Roman"/>
        </w:rPr>
      </w:pPr>
      <w:r>
        <w:rPr>
          <w:rStyle w:val="63"/>
          <w:rFonts w:ascii="Times New Roman"/>
        </w:rPr>
        <w:t>（2）下层土壤（表层土壤底部至地下水位以上）：至少采集和送检1个土壤样品。可根据判断布点法采集，建议下层土壤垂向采样间隔不超过2 m；不同性质土层至少采集1个样品，同一性质土层厚度较大或出现明显污染痕迹时，根据实际情况在该层位增加垂向采样数量。</w:t>
      </w:r>
    </w:p>
    <w:p>
      <w:pPr>
        <w:pStyle w:val="62"/>
        <w:tabs>
          <w:tab w:val="center" w:pos="4201"/>
          <w:tab w:val="right" w:leader="dot" w:pos="9298"/>
        </w:tabs>
        <w:spacing w:line="360" w:lineRule="exact"/>
        <w:rPr>
          <w:rStyle w:val="63"/>
          <w:rFonts w:ascii="Times New Roman"/>
        </w:rPr>
      </w:pPr>
      <w:r>
        <w:rPr>
          <w:rStyle w:val="63"/>
          <w:rFonts w:ascii="Times New Roman"/>
        </w:rPr>
        <w:t>（3）饱和带土壤：至少采集和送检1个土壤样品，采样间隔不超过2 m。但应根据土壤结构的变化和污染物迁移规律，确定垂向采样位置，如饱和带土壤存在明显污染痕迹，应适当增加送检样品。</w:t>
      </w:r>
    </w:p>
    <w:p>
      <w:pPr>
        <w:pStyle w:val="62"/>
        <w:tabs>
          <w:tab w:val="center" w:pos="4201"/>
          <w:tab w:val="right" w:leader="dot" w:pos="9298"/>
        </w:tabs>
        <w:rPr>
          <w:rStyle w:val="63"/>
          <w:rFonts w:ascii="Times New Roman"/>
        </w:rPr>
      </w:pPr>
    </w:p>
    <w:p>
      <w:pPr>
        <w:adjustRightInd w:val="0"/>
        <w:ind w:firstLine="0" w:firstLineChars="0"/>
        <w:jc w:val="center"/>
        <w:rPr>
          <w:rFonts w:cs="Times New Roman"/>
        </w:rPr>
      </w:pPr>
      <w:r>
        <w:rPr>
          <w:rFonts w:cs="Times New Roman"/>
        </w:rPr>
        <w:drawing>
          <wp:inline distT="0" distB="0" distL="0" distR="0">
            <wp:extent cx="4904105" cy="24028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17750" cy="2409839"/>
                    </a:xfrm>
                    <a:prstGeom prst="rect">
                      <a:avLst/>
                    </a:prstGeom>
                    <a:noFill/>
                    <a:ln>
                      <a:noFill/>
                    </a:ln>
                  </pic:spPr>
                </pic:pic>
              </a:graphicData>
            </a:graphic>
          </wp:inline>
        </w:drawing>
      </w:r>
    </w:p>
    <w:p>
      <w:pPr>
        <w:adjustRightInd w:val="0"/>
        <w:spacing w:line="360" w:lineRule="exact"/>
        <w:ind w:firstLine="0" w:firstLineChars="0"/>
        <w:jc w:val="center"/>
        <w:rPr>
          <w:rFonts w:eastAsia="黑体" w:cs="Times New Roman"/>
          <w:sz w:val="22"/>
          <w:szCs w:val="21"/>
        </w:rPr>
      </w:pPr>
      <w:r>
        <w:rPr>
          <w:rFonts w:eastAsia="黑体" w:cs="Times New Roman"/>
          <w:sz w:val="22"/>
          <w:szCs w:val="21"/>
        </w:rPr>
        <w:t>图1-1 土壤样品分层示意图</w:t>
      </w:r>
    </w:p>
    <w:p>
      <w:pPr>
        <w:pStyle w:val="62"/>
        <w:tabs>
          <w:tab w:val="center" w:pos="4201"/>
          <w:tab w:val="right" w:leader="dot" w:pos="9298"/>
        </w:tabs>
        <w:spacing w:line="360" w:lineRule="exact"/>
        <w:rPr>
          <w:rStyle w:val="63"/>
          <w:rFonts w:ascii="Times New Roman"/>
        </w:rPr>
      </w:pPr>
      <w:r>
        <w:rPr>
          <w:rStyle w:val="63"/>
          <w:rFonts w:ascii="Times New Roman"/>
        </w:rPr>
        <w:t>表层土壤和下层土壤具体深度的划分应考虑地块回填土的情况、地块土壤自然分层情况、地下构筑物及管线埋深和破损情况、污染物释放和迁移情况、土壤性状特征等因素综合确定。</w:t>
      </w:r>
    </w:p>
    <w:p>
      <w:pPr>
        <w:pStyle w:val="62"/>
        <w:tabs>
          <w:tab w:val="center" w:pos="4201"/>
          <w:tab w:val="right" w:leader="dot" w:pos="9298"/>
        </w:tabs>
        <w:spacing w:line="360" w:lineRule="exact"/>
        <w:rPr>
          <w:rStyle w:val="63"/>
          <w:rFonts w:ascii="Times New Roman"/>
        </w:rPr>
      </w:pPr>
      <w:r>
        <w:rPr>
          <w:rStyle w:val="63"/>
          <w:rFonts w:ascii="Times New Roman"/>
        </w:rPr>
        <w:t>应优先采集用于测定挥发性有机物（VOCs）的土壤样品，且不允许进行均质化处理，也不得采集混合样。</w:t>
      </w:r>
      <w:bookmarkStart w:id="52" w:name="_Hlk42766126"/>
      <w:r>
        <w:rPr>
          <w:rStyle w:val="63"/>
          <w:rFonts w:ascii="Times New Roman"/>
        </w:rPr>
        <w:t>采样时应用非扰动采样器采集不少于5 g土壤样品推入加有10 mL甲醇（色谱级或农残级）保护剂的40 mL棕色样品瓶内。检测VOCs的土壤样品应采集2份，一份用于检测，一份留作备份。</w:t>
      </w:r>
    </w:p>
    <w:bookmarkEnd w:id="51"/>
    <w:bookmarkEnd w:id="52"/>
    <w:p>
      <w:pPr>
        <w:pStyle w:val="3"/>
        <w:numPr>
          <w:ilvl w:val="1"/>
          <w:numId w:val="5"/>
        </w:numPr>
        <w:spacing w:before="120" w:after="120" w:line="360" w:lineRule="exact"/>
        <w:rPr>
          <w:rFonts w:cs="Times New Roman"/>
        </w:rPr>
      </w:pPr>
      <w:bookmarkStart w:id="53" w:name="_Toc30695"/>
      <w:bookmarkStart w:id="54" w:name="_Toc19115"/>
      <w:r>
        <w:rPr>
          <w:rFonts w:cs="Times New Roman"/>
        </w:rPr>
        <w:t>地下水样品采集</w:t>
      </w:r>
      <w:bookmarkEnd w:id="53"/>
      <w:bookmarkEnd w:id="54"/>
    </w:p>
    <w:p>
      <w:pPr>
        <w:pStyle w:val="62"/>
        <w:tabs>
          <w:tab w:val="center" w:pos="4201"/>
          <w:tab w:val="right" w:leader="dot" w:pos="9298"/>
        </w:tabs>
        <w:spacing w:line="360" w:lineRule="exact"/>
        <w:rPr>
          <w:rStyle w:val="63"/>
          <w:rFonts w:ascii="Times New Roman"/>
        </w:rPr>
      </w:pPr>
      <w:r>
        <w:rPr>
          <w:rStyle w:val="63"/>
          <w:rFonts w:ascii="Times New Roman"/>
        </w:rPr>
        <w:t>（1）采样前应完成洗井，并用便携式设备监测水位、pH值、氧化还原电位、温度、电导率及浊度等变化。满足表1-2采样要求后，才可取样。</w:t>
      </w:r>
    </w:p>
    <w:p>
      <w:pPr>
        <w:pStyle w:val="62"/>
        <w:tabs>
          <w:tab w:val="center" w:pos="4201"/>
          <w:tab w:val="right" w:leader="dot" w:pos="9298"/>
        </w:tabs>
        <w:spacing w:line="360" w:lineRule="exact"/>
        <w:rPr>
          <w:rStyle w:val="63"/>
          <w:rFonts w:ascii="Times New Roman"/>
        </w:rPr>
      </w:pPr>
      <w:r>
        <w:rPr>
          <w:rStyle w:val="63"/>
          <w:rFonts w:ascii="Times New Roman"/>
        </w:rPr>
        <w:t>（2）采样深度应在水面下0.5 m以下。采用低流量泵进行采样，流速应控制在200 mL /min以下，管线中应无气泡存在。当采用贝勒管取样时，应降低扰动，出水口应配置流速调节阀，使水样经由调节阀转移至样品保存瓶内。当采集含挥发性污染物的水样时不应使用蠕动泵。</w:t>
      </w:r>
    </w:p>
    <w:p>
      <w:pPr>
        <w:pStyle w:val="62"/>
        <w:tabs>
          <w:tab w:val="center" w:pos="4201"/>
          <w:tab w:val="right" w:leader="dot" w:pos="9298"/>
        </w:tabs>
        <w:spacing w:line="360" w:lineRule="exact"/>
        <w:rPr>
          <w:rStyle w:val="63"/>
          <w:rFonts w:ascii="Times New Roman"/>
        </w:rPr>
      </w:pPr>
      <w:r>
        <w:rPr>
          <w:rStyle w:val="63"/>
          <w:rFonts w:ascii="Times New Roman"/>
        </w:rPr>
        <w:t>（3）当地下水监测井内存在非水相液体时，可利用油水界面仪在地下水洗井采样前测试非水相液体的厚度，并利用可调节采样深度的采样器采取非水相液体样品。对于存在低密度非水溶性有机物污染物（比重小于水、与水不相溶的有机相，如汽油、柴油、煤油等），采样深度应在含水层顶部；对于存在高密度非水溶性有机污染物（比重大于水、与水不相溶的有机相，如三氯乙烯、四氯乙烯、四氯化碳等含氯有机溶剂、煤焦油等），采样深度应在含水层底部和不透水层顶部。</w:t>
      </w:r>
    </w:p>
    <w:p>
      <w:pPr>
        <w:pStyle w:val="3"/>
        <w:numPr>
          <w:ilvl w:val="1"/>
          <w:numId w:val="5"/>
        </w:numPr>
        <w:spacing w:before="120" w:after="120" w:line="360" w:lineRule="exact"/>
        <w:rPr>
          <w:rFonts w:cs="Times New Roman"/>
        </w:rPr>
      </w:pPr>
      <w:bookmarkStart w:id="55" w:name="_Toc29441"/>
      <w:bookmarkStart w:id="56" w:name="_Toc7599"/>
      <w:r>
        <w:rPr>
          <w:rFonts w:cs="Times New Roman"/>
        </w:rPr>
        <w:t>地表水</w:t>
      </w:r>
      <w:bookmarkEnd w:id="55"/>
      <w:bookmarkEnd w:id="56"/>
    </w:p>
    <w:p>
      <w:pPr>
        <w:pStyle w:val="62"/>
        <w:tabs>
          <w:tab w:val="center" w:pos="4201"/>
          <w:tab w:val="right" w:leader="dot" w:pos="9298"/>
        </w:tabs>
        <w:spacing w:line="360" w:lineRule="exact"/>
        <w:rPr>
          <w:rStyle w:val="63"/>
          <w:rFonts w:ascii="Times New Roman"/>
        </w:rPr>
      </w:pPr>
      <w:r>
        <w:rPr>
          <w:rStyle w:val="63"/>
          <w:rFonts w:ascii="Times New Roman"/>
        </w:rPr>
        <w:t>地表水采样时避免扰动水底沉积物。为反映地表水与地下水的水力联系，地表水的采样频次与采样时间应尽量与地下水采样保持一致。</w:t>
      </w:r>
    </w:p>
    <w:p>
      <w:pPr>
        <w:pStyle w:val="3"/>
        <w:numPr>
          <w:ilvl w:val="1"/>
          <w:numId w:val="5"/>
        </w:numPr>
        <w:spacing w:before="120" w:after="120" w:line="360" w:lineRule="exact"/>
        <w:rPr>
          <w:rFonts w:cs="Times New Roman"/>
        </w:rPr>
      </w:pPr>
      <w:bookmarkStart w:id="57" w:name="_Toc15505"/>
      <w:bookmarkStart w:id="58" w:name="_Toc30648"/>
      <w:r>
        <w:rPr>
          <w:rFonts w:cs="Times New Roman"/>
        </w:rPr>
        <w:t>底泥样品采集</w:t>
      </w:r>
      <w:bookmarkEnd w:id="57"/>
      <w:bookmarkEnd w:id="58"/>
    </w:p>
    <w:p>
      <w:pPr>
        <w:pStyle w:val="62"/>
        <w:tabs>
          <w:tab w:val="center" w:pos="4201"/>
          <w:tab w:val="right" w:leader="dot" w:pos="9298"/>
        </w:tabs>
        <w:spacing w:line="360" w:lineRule="exact"/>
        <w:rPr>
          <w:rStyle w:val="63"/>
          <w:rFonts w:ascii="Times New Roman"/>
        </w:rPr>
      </w:pPr>
      <w:r>
        <w:rPr>
          <w:rStyle w:val="63"/>
          <w:rFonts w:ascii="Times New Roman"/>
        </w:rPr>
        <w:t>底泥样品可在地表水采样点一并采集，一般用采泥器采集表层底泥样品，必要时可用柱状采样器采集下层底泥样品。</w:t>
      </w:r>
    </w:p>
    <w:p>
      <w:pPr>
        <w:pStyle w:val="3"/>
        <w:numPr>
          <w:ilvl w:val="1"/>
          <w:numId w:val="5"/>
        </w:numPr>
        <w:spacing w:before="120" w:after="120" w:line="360" w:lineRule="exact"/>
        <w:rPr>
          <w:rFonts w:cs="Times New Roman"/>
        </w:rPr>
      </w:pPr>
      <w:bookmarkStart w:id="59" w:name="_Toc28500"/>
      <w:bookmarkStart w:id="60" w:name="_Toc16056"/>
      <w:r>
        <w:rPr>
          <w:rFonts w:cs="Times New Roman"/>
        </w:rPr>
        <w:t>残余废弃物</w:t>
      </w:r>
      <w:bookmarkEnd w:id="59"/>
      <w:bookmarkEnd w:id="60"/>
    </w:p>
    <w:p>
      <w:pPr>
        <w:pStyle w:val="62"/>
        <w:tabs>
          <w:tab w:val="center" w:pos="4201"/>
          <w:tab w:val="right" w:leader="dot" w:pos="9298"/>
        </w:tabs>
        <w:spacing w:line="360" w:lineRule="exact"/>
        <w:rPr>
          <w:rStyle w:val="63"/>
          <w:rFonts w:ascii="Times New Roman"/>
        </w:rPr>
      </w:pPr>
      <w:r>
        <w:rPr>
          <w:rStyle w:val="63"/>
          <w:rFonts w:ascii="Times New Roman"/>
        </w:rPr>
        <w:t>残留在废弃设施、容器及管道内的固态、半固态及液态物质应按照《企业拆除活动污染防治技术规定》要求执行；固体废物应按照《工业固体废物采样制样技术规范》（HJ/T 20）要求执行，危险废物应按照《危险废物鉴别技术规范》（HJ 298）要求执行。</w:t>
      </w:r>
    </w:p>
    <w:p>
      <w:pPr>
        <w:pStyle w:val="3"/>
        <w:numPr>
          <w:ilvl w:val="1"/>
          <w:numId w:val="5"/>
        </w:numPr>
        <w:spacing w:before="120" w:after="120" w:line="360" w:lineRule="exact"/>
        <w:rPr>
          <w:rFonts w:cs="Times New Roman"/>
        </w:rPr>
      </w:pPr>
      <w:bookmarkStart w:id="61" w:name="_Toc14987"/>
      <w:bookmarkStart w:id="62" w:name="_Toc11626"/>
      <w:r>
        <w:rPr>
          <w:rFonts w:cs="Times New Roman"/>
        </w:rPr>
        <w:t>样品保存、流转与运输</w:t>
      </w:r>
      <w:bookmarkEnd w:id="61"/>
      <w:bookmarkEnd w:id="62"/>
    </w:p>
    <w:p>
      <w:pPr>
        <w:pStyle w:val="62"/>
        <w:tabs>
          <w:tab w:val="center" w:pos="4201"/>
          <w:tab w:val="right" w:leader="dot" w:pos="9298"/>
        </w:tabs>
        <w:spacing w:line="360" w:lineRule="exact"/>
        <w:rPr>
          <w:rStyle w:val="63"/>
          <w:rFonts w:ascii="Times New Roman"/>
        </w:rPr>
      </w:pPr>
      <w:r>
        <w:rPr>
          <w:rStyle w:val="63"/>
          <w:rFonts w:ascii="Times New Roman"/>
        </w:rPr>
        <w:t>土壤样品保存、流转与运输应参照《土壤环境监测技术规范》（HJ/T 166）等技术文件的要求进行，其中六价铬土壤样品保存按照《土壤和沉积物六价铬的测定碱溶液提取-火焰原子吸收分光光度法》（HJ</w:t>
      </w:r>
      <w:r>
        <w:rPr>
          <w:rStyle w:val="63"/>
          <w:rFonts w:hint="eastAsia" w:ascii="Times New Roman"/>
          <w:lang w:val="en-US" w:eastAsia="zh-CN"/>
        </w:rPr>
        <w:t xml:space="preserve"> </w:t>
      </w:r>
      <w:r>
        <w:rPr>
          <w:rStyle w:val="63"/>
          <w:rFonts w:ascii="Times New Roman"/>
        </w:rPr>
        <w:t>1082-2019）要求进行；地下水样品保存、流转与运输应参照《地下水环境监测技术规范》（HJ/T 164）等技术文件的要求进行；地表水样品保存、流转与运输按照《地表水和污水监测技术规范》（HJ/T 91）和《水质采样样品的保存和管理技术规定》（HJ/T 493）进行；底泥样品保存、流转与运输按照《海洋监测规范第3部分：样品采集、贮存与运输》（GB 17378.3）进行；残余废弃物样品的保存与流转按照《工业固体废物采样制样技术规范》（HJ/T 20）及《危险废物鉴别技术规范》（HJ 298）的要求进行。</w:t>
      </w:r>
    </w:p>
    <w:p>
      <w:pPr>
        <w:pStyle w:val="3"/>
        <w:numPr>
          <w:ilvl w:val="1"/>
          <w:numId w:val="5"/>
        </w:numPr>
        <w:spacing w:before="120" w:after="120" w:line="360" w:lineRule="exact"/>
        <w:rPr>
          <w:rFonts w:cs="Times New Roman"/>
        </w:rPr>
      </w:pPr>
      <w:bookmarkStart w:id="63" w:name="_Toc3283"/>
      <w:bookmarkStart w:id="64" w:name="_Toc14645"/>
      <w:r>
        <w:rPr>
          <w:rFonts w:cs="Times New Roman"/>
        </w:rPr>
        <w:t>采样与流转过程资料留痕</w:t>
      </w:r>
      <w:bookmarkEnd w:id="63"/>
      <w:bookmarkEnd w:id="64"/>
    </w:p>
    <w:p>
      <w:pPr>
        <w:pStyle w:val="62"/>
        <w:tabs>
          <w:tab w:val="center" w:pos="4201"/>
          <w:tab w:val="right" w:leader="dot" w:pos="9298"/>
        </w:tabs>
        <w:spacing w:line="360" w:lineRule="exact"/>
        <w:rPr>
          <w:rStyle w:val="63"/>
          <w:rFonts w:ascii="Times New Roman"/>
        </w:rPr>
      </w:pPr>
      <w:r>
        <w:rPr>
          <w:rStyle w:val="63"/>
          <w:rFonts w:ascii="Times New Roman"/>
        </w:rPr>
        <w:t>样品采集过程中应对采样位置、采样工具、采样过程、样品瓶编号、岩芯、现场检测等关键环节进行拍照或视频记录，每个关键环节至少1张照片。样品保存、流转各工作环节应有相关影像资料存留。</w:t>
      </w:r>
    </w:p>
    <w:p>
      <w:pPr>
        <w:pStyle w:val="3"/>
        <w:numPr>
          <w:ilvl w:val="1"/>
          <w:numId w:val="5"/>
        </w:numPr>
        <w:spacing w:before="120" w:after="120" w:line="360" w:lineRule="exact"/>
        <w:rPr>
          <w:rFonts w:cs="Times New Roman"/>
        </w:rPr>
      </w:pPr>
      <w:bookmarkStart w:id="65" w:name="_Toc30968"/>
      <w:bookmarkStart w:id="66" w:name="_Toc2895"/>
      <w:r>
        <w:rPr>
          <w:rFonts w:cs="Times New Roman"/>
        </w:rPr>
        <w:t>实验室样品分析</w:t>
      </w:r>
      <w:bookmarkEnd w:id="65"/>
      <w:bookmarkEnd w:id="66"/>
    </w:p>
    <w:p>
      <w:pPr>
        <w:pStyle w:val="62"/>
        <w:tabs>
          <w:tab w:val="center" w:pos="4201"/>
          <w:tab w:val="right" w:leader="dot" w:pos="9298"/>
        </w:tabs>
        <w:spacing w:line="360" w:lineRule="exact"/>
        <w:rPr>
          <w:rStyle w:val="63"/>
          <w:rFonts w:ascii="Times New Roman"/>
        </w:rPr>
      </w:pPr>
      <w:r>
        <w:rPr>
          <w:rStyle w:val="63"/>
          <w:rFonts w:ascii="Times New Roman"/>
        </w:rPr>
        <w:t>土壤与底泥样品的分析测试应参照GB 36600中的指定方法；地下水样品的分析测试可参照GB/T14848中的推荐方法；地表水样品的分析测试可优先参照GB 3838中的指定方法。</w:t>
      </w:r>
    </w:p>
    <w:p>
      <w:pPr>
        <w:pStyle w:val="62"/>
        <w:tabs>
          <w:tab w:val="center" w:pos="4201"/>
          <w:tab w:val="right" w:leader="dot" w:pos="9298"/>
        </w:tabs>
        <w:spacing w:line="360" w:lineRule="exact"/>
        <w:rPr>
          <w:rStyle w:val="63"/>
          <w:rFonts w:ascii="Times New Roman"/>
        </w:rPr>
      </w:pPr>
      <w:r>
        <w:rPr>
          <w:rStyle w:val="63"/>
          <w:rFonts w:ascii="Times New Roman"/>
        </w:rPr>
        <w:t>没有国家标准和环境行业标准检测方法的监测项目，可参考国内其他行业标准、国际标准以及其他国家现行有效的标准检测方法进行。</w:t>
      </w:r>
    </w:p>
    <w:p>
      <w:pPr>
        <w:pStyle w:val="62"/>
        <w:tabs>
          <w:tab w:val="center" w:pos="4201"/>
          <w:tab w:val="right" w:leader="dot" w:pos="9298"/>
        </w:tabs>
        <w:spacing w:line="360" w:lineRule="exact"/>
        <w:rPr>
          <w:rStyle w:val="63"/>
          <w:rFonts w:ascii="Times New Roman"/>
        </w:rPr>
      </w:pPr>
      <w:r>
        <w:rPr>
          <w:rStyle w:val="63"/>
          <w:rFonts w:ascii="Times New Roman"/>
        </w:rPr>
        <w:t>检测方法、检出限原则上应满足评价标准的要求。</w:t>
      </w:r>
    </w:p>
    <w:p>
      <w:pPr>
        <w:pStyle w:val="3"/>
        <w:numPr>
          <w:ilvl w:val="1"/>
          <w:numId w:val="5"/>
        </w:numPr>
        <w:spacing w:before="120" w:after="120" w:line="360" w:lineRule="exact"/>
        <w:rPr>
          <w:rFonts w:cs="Times New Roman"/>
        </w:rPr>
      </w:pPr>
      <w:bookmarkStart w:id="67" w:name="_Toc7209"/>
      <w:bookmarkStart w:id="68" w:name="_Toc12377"/>
      <w:r>
        <w:rPr>
          <w:rFonts w:cs="Times New Roman"/>
        </w:rPr>
        <w:t>异常点排查</w:t>
      </w:r>
      <w:bookmarkEnd w:id="67"/>
      <w:bookmarkEnd w:id="68"/>
    </w:p>
    <w:p>
      <w:pPr>
        <w:pStyle w:val="62"/>
        <w:tabs>
          <w:tab w:val="center" w:pos="4201"/>
          <w:tab w:val="right" w:leader="dot" w:pos="9298"/>
        </w:tabs>
        <w:spacing w:line="360" w:lineRule="exact"/>
        <w:rPr>
          <w:rStyle w:val="63"/>
          <w:rFonts w:ascii="Times New Roman"/>
        </w:rPr>
      </w:pPr>
      <w:r>
        <w:rPr>
          <w:rStyle w:val="63"/>
          <w:rFonts w:ascii="Times New Roman"/>
        </w:rPr>
        <w:t>超标点位检测数据同时满足以下条件</w:t>
      </w:r>
      <w:r>
        <w:rPr>
          <w:rStyle w:val="63"/>
          <w:rFonts w:hint="eastAsia" w:ascii="Times New Roman"/>
        </w:rPr>
        <w:t>时</w:t>
      </w:r>
      <w:r>
        <w:rPr>
          <w:rStyle w:val="63"/>
          <w:rFonts w:ascii="Times New Roman"/>
        </w:rPr>
        <w:t>，可进行异常点位排查：</w:t>
      </w:r>
    </w:p>
    <w:p>
      <w:pPr>
        <w:pStyle w:val="62"/>
        <w:tabs>
          <w:tab w:val="center" w:pos="4201"/>
          <w:tab w:val="right" w:leader="dot" w:pos="9298"/>
        </w:tabs>
        <w:spacing w:line="360" w:lineRule="exact"/>
        <w:rPr>
          <w:rStyle w:val="63"/>
          <w:rFonts w:ascii="Times New Roman"/>
        </w:rPr>
      </w:pPr>
      <w:r>
        <w:rPr>
          <w:rStyle w:val="63"/>
          <w:rFonts w:ascii="Times New Roman"/>
        </w:rPr>
        <w:t>（1）超筛选值的污染物非该地块特征污染物，或虽为特征污染物，但其浓度最大值不超过相应筛选值的2倍且不超过管制值；</w:t>
      </w:r>
    </w:p>
    <w:p>
      <w:pPr>
        <w:pStyle w:val="62"/>
        <w:tabs>
          <w:tab w:val="center" w:pos="4201"/>
          <w:tab w:val="right" w:leader="dot" w:pos="9298"/>
        </w:tabs>
        <w:spacing w:line="360" w:lineRule="exact"/>
        <w:rPr>
          <w:rStyle w:val="63"/>
          <w:rFonts w:ascii="Times New Roman"/>
        </w:rPr>
      </w:pPr>
      <w:r>
        <w:rPr>
          <w:rStyle w:val="63"/>
          <w:rFonts w:ascii="Times New Roman"/>
        </w:rPr>
        <w:t>（2）充足的前期调查表明，超标的污染物非该地块特征污染物；</w:t>
      </w:r>
    </w:p>
    <w:p>
      <w:pPr>
        <w:pStyle w:val="62"/>
        <w:tabs>
          <w:tab w:val="center" w:pos="4201"/>
          <w:tab w:val="right" w:leader="dot" w:pos="9298"/>
        </w:tabs>
        <w:spacing w:line="360" w:lineRule="exact"/>
        <w:rPr>
          <w:rStyle w:val="63"/>
          <w:rFonts w:ascii="Times New Roman"/>
        </w:rPr>
      </w:pPr>
      <w:r>
        <w:rPr>
          <w:rStyle w:val="63"/>
          <w:rFonts w:ascii="Times New Roman"/>
        </w:rPr>
        <w:t>（3）孤立的点位（周边40 m范围内无超筛选值点位）；</w:t>
      </w:r>
    </w:p>
    <w:p>
      <w:pPr>
        <w:pStyle w:val="62"/>
        <w:tabs>
          <w:tab w:val="center" w:pos="4201"/>
          <w:tab w:val="right" w:leader="dot" w:pos="9298"/>
        </w:tabs>
        <w:spacing w:line="360" w:lineRule="exact"/>
        <w:rPr>
          <w:rStyle w:val="63"/>
          <w:rFonts w:ascii="Times New Roman"/>
        </w:rPr>
      </w:pPr>
      <w:r>
        <w:rPr>
          <w:rStyle w:val="63"/>
          <w:rFonts w:ascii="Times New Roman"/>
        </w:rPr>
        <w:t>（4）极个别的点位（≤3个或采样点总数的5%）；</w:t>
      </w:r>
    </w:p>
    <w:p>
      <w:pPr>
        <w:pStyle w:val="62"/>
        <w:tabs>
          <w:tab w:val="center" w:pos="4201"/>
          <w:tab w:val="right" w:leader="dot" w:pos="9298"/>
        </w:tabs>
        <w:spacing w:line="360" w:lineRule="exact"/>
        <w:rPr>
          <w:rStyle w:val="63"/>
          <w:rFonts w:ascii="Times New Roman"/>
        </w:rPr>
      </w:pPr>
      <w:r>
        <w:rPr>
          <w:rStyle w:val="63"/>
          <w:rFonts w:ascii="Times New Roman"/>
        </w:rPr>
        <w:t>（5）与周边其他点位污染物检测浓度存在较大差异；</w:t>
      </w:r>
    </w:p>
    <w:p>
      <w:pPr>
        <w:pStyle w:val="62"/>
        <w:tabs>
          <w:tab w:val="center" w:pos="4201"/>
          <w:tab w:val="right" w:leader="dot" w:pos="9298"/>
        </w:tabs>
        <w:spacing w:line="360" w:lineRule="exact"/>
        <w:rPr>
          <w:rStyle w:val="63"/>
          <w:rFonts w:ascii="Times New Roman"/>
        </w:rPr>
      </w:pPr>
      <w:r>
        <w:rPr>
          <w:rStyle w:val="63"/>
          <w:rFonts w:ascii="Times New Roman"/>
        </w:rPr>
        <w:t>（6）该点位周边已按照每个采样单元面积不大于400 m</w:t>
      </w:r>
      <w:r>
        <w:rPr>
          <w:rStyle w:val="63"/>
          <w:rFonts w:ascii="Times New Roman"/>
          <w:vertAlign w:val="superscript"/>
        </w:rPr>
        <w:t>2</w:t>
      </w:r>
      <w:r>
        <w:rPr>
          <w:rStyle w:val="63"/>
          <w:rFonts w:ascii="Times New Roman"/>
        </w:rPr>
        <w:t>进行调查，且疑似异常污染物均未超过筛选值。</w:t>
      </w:r>
    </w:p>
    <w:p>
      <w:pPr>
        <w:pStyle w:val="62"/>
        <w:tabs>
          <w:tab w:val="center" w:pos="4201"/>
          <w:tab w:val="right" w:leader="dot" w:pos="9298"/>
        </w:tabs>
        <w:spacing w:line="360" w:lineRule="exact"/>
        <w:rPr>
          <w:rStyle w:val="63"/>
          <w:rFonts w:ascii="Times New Roman"/>
        </w:rPr>
      </w:pPr>
      <w:r>
        <w:rPr>
          <w:rStyle w:val="63"/>
          <w:rFonts w:ascii="Times New Roman"/>
        </w:rPr>
        <w:t>异常点位排查可采用下列方法之一排查：</w:t>
      </w:r>
    </w:p>
    <w:p>
      <w:pPr>
        <w:pStyle w:val="62"/>
        <w:tabs>
          <w:tab w:val="center" w:pos="4201"/>
          <w:tab w:val="right" w:leader="dot" w:pos="9298"/>
        </w:tabs>
        <w:spacing w:line="360" w:lineRule="exact"/>
        <w:rPr>
          <w:rStyle w:val="63"/>
          <w:rFonts w:ascii="Times New Roman"/>
        </w:rPr>
      </w:pPr>
      <w:r>
        <w:rPr>
          <w:rStyle w:val="63"/>
          <w:rFonts w:ascii="Times New Roman"/>
        </w:rPr>
        <w:t>（1）在疑似异常点位四个垂直轴向上1 m范围内共布设4个采样点，每个采样点位至少采集5个土壤样品，原则上应包含排查目标深度及其上、下各两层的土样，分层间隔为0.5 m。如检测结果显示各土壤样品均达标，则可认为该疑似异常点位对于本地块不具代表性，可予以排除。</w:t>
      </w:r>
    </w:p>
    <w:p>
      <w:pPr>
        <w:pStyle w:val="62"/>
        <w:tabs>
          <w:tab w:val="center" w:pos="4201"/>
          <w:tab w:val="right" w:leader="dot" w:pos="9298"/>
        </w:tabs>
        <w:spacing w:line="360" w:lineRule="exact"/>
        <w:rPr>
          <w:rStyle w:val="63"/>
          <w:rFonts w:ascii="Times New Roman"/>
        </w:rPr>
      </w:pPr>
      <w:r>
        <w:rPr>
          <w:rStyle w:val="63"/>
          <w:rFonts w:ascii="Times New Roman"/>
        </w:rPr>
        <w:t>（2）在疑似异常点位周边不超标点位连线范围内开展异常点位排查，在疑似异常点位周边1米范围内布设1个采样点位，其他点位使用系统布点法加密布设对超筛选值的疑似异常污染物进行监测，采样深度分层间隔为0.5~1米，每个采样点位至少采集5个土壤样品，样品总数不少于25个。通过对异常点位排查区域范围内的所有样品（含异常点位）进行统计分析，如样品均值的95%置信上限小于等于相应的筛选值，且排除的土壤量不大于25 m</w:t>
      </w:r>
      <w:r>
        <w:rPr>
          <w:rStyle w:val="63"/>
          <w:rFonts w:ascii="Times New Roman"/>
          <w:vertAlign w:val="superscript"/>
        </w:rPr>
        <w:t>3</w:t>
      </w:r>
      <w:r>
        <w:rPr>
          <w:rStyle w:val="63"/>
          <w:rFonts w:ascii="Times New Roman"/>
        </w:rPr>
        <w:t>（采用不超标点位连线法估算），则可认为该疑似异常点位对于本地块不具代表性，可予以排除。</w:t>
      </w:r>
    </w:p>
    <w:p>
      <w:pPr>
        <w:pStyle w:val="3"/>
        <w:numPr>
          <w:ilvl w:val="0"/>
          <w:numId w:val="5"/>
        </w:numPr>
        <w:tabs>
          <w:tab w:val="left" w:pos="420"/>
        </w:tabs>
        <w:spacing w:before="240" w:after="240" w:line="360" w:lineRule="exact"/>
        <w:rPr>
          <w:rFonts w:cs="Times New Roman"/>
        </w:rPr>
      </w:pPr>
      <w:bookmarkStart w:id="69" w:name="_Toc23903"/>
      <w:bookmarkStart w:id="70" w:name="_Toc26725"/>
      <w:r>
        <w:rPr>
          <w:rFonts w:cs="Times New Roman"/>
        </w:rPr>
        <w:t>质量保证与质量控制</w:t>
      </w:r>
      <w:bookmarkEnd w:id="69"/>
      <w:bookmarkEnd w:id="70"/>
    </w:p>
    <w:p>
      <w:pPr>
        <w:pStyle w:val="62"/>
        <w:tabs>
          <w:tab w:val="center" w:pos="4201"/>
          <w:tab w:val="right" w:leader="dot" w:pos="9298"/>
        </w:tabs>
        <w:spacing w:line="360" w:lineRule="exact"/>
        <w:rPr>
          <w:rStyle w:val="63"/>
          <w:rFonts w:ascii="Times New Roman"/>
        </w:rPr>
      </w:pPr>
      <w:r>
        <w:rPr>
          <w:rStyle w:val="63"/>
          <w:rFonts w:ascii="Times New Roman"/>
        </w:rPr>
        <w:t xml:space="preserve">按各检测方法的规定做好现场平行样、现场空白、运输空白、实验室空白、实验室平行样、加标回收等质控措施。调查报告中包含质控统计表。 </w:t>
      </w:r>
    </w:p>
    <w:p>
      <w:pPr>
        <w:pStyle w:val="62"/>
        <w:tabs>
          <w:tab w:val="center" w:pos="4201"/>
          <w:tab w:val="right" w:leader="dot" w:pos="9298"/>
        </w:tabs>
        <w:spacing w:line="360" w:lineRule="exact"/>
        <w:rPr>
          <w:rStyle w:val="63"/>
          <w:rFonts w:ascii="Times New Roman"/>
        </w:rPr>
      </w:pPr>
      <w:r>
        <w:rPr>
          <w:rStyle w:val="63"/>
          <w:rFonts w:ascii="Times New Roman"/>
        </w:rPr>
        <w:t>现场采样时，土壤和地下水样品应按照10%比例采取现场平行样，每批次送检样品应设置不少于1个的现场空白样和运输空白样。</w:t>
      </w:r>
    </w:p>
    <w:p>
      <w:pPr>
        <w:pStyle w:val="62"/>
        <w:tabs>
          <w:tab w:val="center" w:pos="4201"/>
          <w:tab w:val="right" w:leader="dot" w:pos="9298"/>
        </w:tabs>
        <w:spacing w:line="360" w:lineRule="exact"/>
        <w:rPr>
          <w:rStyle w:val="63"/>
          <w:rFonts w:ascii="Times New Roman"/>
        </w:rPr>
      </w:pPr>
      <w:r>
        <w:rPr>
          <w:rStyle w:val="63"/>
          <w:rFonts w:ascii="Times New Roman"/>
        </w:rPr>
        <w:t xml:space="preserve">每批次样品分析时，每个检测项目（除挥发性有机物外）均须做实验室平行样分析。在每批次分析样品中，应随机抽取5%的样品进行实验室平行样分析；当批次样品数≤20时，应至少随机抽取2个样品进行实验室平行样分析。 </w:t>
      </w:r>
    </w:p>
    <w:p>
      <w:pPr>
        <w:pStyle w:val="62"/>
        <w:tabs>
          <w:tab w:val="center" w:pos="4201"/>
          <w:tab w:val="right" w:leader="dot" w:pos="9298"/>
        </w:tabs>
        <w:spacing w:line="360" w:lineRule="exact"/>
        <w:rPr>
          <w:rStyle w:val="63"/>
          <w:rFonts w:ascii="Times New Roman"/>
        </w:rPr>
      </w:pPr>
      <w:r>
        <w:rPr>
          <w:rStyle w:val="63"/>
          <w:rFonts w:ascii="Times New Roman"/>
        </w:rPr>
        <w:t xml:space="preserve">当具备与被测土壤或地下水样品基体相同或类似的有证标准物质时，应在每批次样品分析时同步均匀插入与被测样品含量水平相当的有证标准物质样品进行分析测试。每批次同类型分析样品要求按样品数5%的比例插入标准物质样品；当批次分析样品数≤20时，应至少插入2个标准物质样品。 </w:t>
      </w:r>
    </w:p>
    <w:p>
      <w:pPr>
        <w:pStyle w:val="62"/>
        <w:tabs>
          <w:tab w:val="center" w:pos="4201"/>
          <w:tab w:val="right" w:leader="dot" w:pos="9298"/>
        </w:tabs>
        <w:spacing w:line="360" w:lineRule="exact"/>
        <w:rPr>
          <w:rStyle w:val="63"/>
          <w:rFonts w:ascii="Times New Roman"/>
        </w:rPr>
      </w:pPr>
      <w:r>
        <w:rPr>
          <w:rStyle w:val="63"/>
          <w:rFonts w:ascii="Times New Roman"/>
        </w:rPr>
        <w:t>当没有合适的土壤或地下水基体有证标准物质时，应采用基体加标回收率试验对准确度进行控制。每批次同类型分析样品中，应随机抽取5％的样品进行加标回收率试验；当批次分析样品数≤20时，应至少随机抽取2个样品进行加标回收率试验。此外，在进行有机污染物样品分析时，最好能进行替代物加标回收率试验。</w:t>
      </w:r>
    </w:p>
    <w:p>
      <w:pPr>
        <w:pStyle w:val="62"/>
        <w:tabs>
          <w:tab w:val="center" w:pos="4201"/>
          <w:tab w:val="right" w:leader="dot" w:pos="9298"/>
        </w:tabs>
        <w:spacing w:line="360" w:lineRule="exact"/>
        <w:rPr>
          <w:rStyle w:val="63"/>
          <w:rFonts w:ascii="Times New Roman"/>
        </w:rPr>
      </w:pPr>
      <w:r>
        <w:rPr>
          <w:rStyle w:val="63"/>
          <w:rFonts w:ascii="Times New Roman"/>
        </w:rPr>
        <w:t>具体工作按现行有效的监测技术规范、检测方法相关要求执行，并满足以上质量控制的比例要求，将相关的记录体现在</w:t>
      </w:r>
      <w:r>
        <w:rPr>
          <w:rStyle w:val="63"/>
          <w:rFonts w:hint="eastAsia" w:ascii="Times New Roman"/>
        </w:rPr>
        <w:t>检测</w:t>
      </w:r>
      <w:r>
        <w:rPr>
          <w:rStyle w:val="63"/>
          <w:rFonts w:ascii="Times New Roman"/>
        </w:rPr>
        <w:t>报告中。质控样分析结果不合格时，应查找原因，并将同批样品重新分析。</w:t>
      </w:r>
    </w:p>
    <w:p>
      <w:pPr>
        <w:pStyle w:val="62"/>
        <w:tabs>
          <w:tab w:val="center" w:pos="4201"/>
          <w:tab w:val="right" w:leader="dot" w:pos="9298"/>
        </w:tabs>
        <w:spacing w:line="360" w:lineRule="exact"/>
        <w:rPr>
          <w:rStyle w:val="63"/>
          <w:rFonts w:ascii="Times New Roman"/>
        </w:rPr>
      </w:pPr>
      <w:r>
        <w:rPr>
          <w:rStyle w:val="63"/>
          <w:rFonts w:ascii="Times New Roman"/>
        </w:rPr>
        <w:t>精密度、准确度的评判标准按现行有效的监测技术规范、检测方法相关要求执行，并满足以上质量控制的比例要求，未有规定的建议参照《重点行业企业用地调查质量保证与质量控制技术规定（试行）》中精密度及准确度的要求。</w:t>
      </w:r>
    </w:p>
    <w:p>
      <w:pPr>
        <w:pStyle w:val="3"/>
        <w:numPr>
          <w:ilvl w:val="0"/>
          <w:numId w:val="5"/>
        </w:numPr>
        <w:tabs>
          <w:tab w:val="left" w:pos="420"/>
        </w:tabs>
        <w:spacing w:before="240" w:after="240" w:line="360" w:lineRule="exact"/>
        <w:rPr>
          <w:rFonts w:cs="Times New Roman"/>
        </w:rPr>
      </w:pPr>
      <w:bookmarkStart w:id="71" w:name="_Toc13407"/>
      <w:bookmarkStart w:id="72" w:name="_Toc7970"/>
      <w:r>
        <w:rPr>
          <w:rFonts w:cs="Times New Roman"/>
        </w:rPr>
        <w:t>数据分析与评价</w:t>
      </w:r>
      <w:bookmarkEnd w:id="71"/>
      <w:bookmarkEnd w:id="72"/>
    </w:p>
    <w:p>
      <w:pPr>
        <w:pStyle w:val="3"/>
        <w:numPr>
          <w:ilvl w:val="1"/>
          <w:numId w:val="5"/>
        </w:numPr>
        <w:spacing w:before="120" w:after="120" w:line="360" w:lineRule="exact"/>
        <w:rPr>
          <w:rFonts w:cs="Times New Roman"/>
        </w:rPr>
      </w:pPr>
      <w:bookmarkStart w:id="73" w:name="_Toc12792"/>
      <w:bookmarkStart w:id="74" w:name="_Toc15784"/>
      <w:r>
        <w:rPr>
          <w:rFonts w:cs="Times New Roman"/>
        </w:rPr>
        <w:t>筛选值的选取</w:t>
      </w:r>
      <w:bookmarkEnd w:id="73"/>
      <w:bookmarkEnd w:id="74"/>
    </w:p>
    <w:p>
      <w:pPr>
        <w:pStyle w:val="66"/>
        <w:numPr>
          <w:ilvl w:val="2"/>
          <w:numId w:val="5"/>
        </w:numPr>
        <w:spacing w:before="217" w:beforeLines="50" w:after="217" w:afterLines="50" w:line="360" w:lineRule="exact"/>
        <w:textAlignment w:val="auto"/>
        <w:rPr>
          <w:rStyle w:val="63"/>
          <w:rFonts w:ascii="Times New Roman"/>
        </w:rPr>
      </w:pPr>
      <w:r>
        <w:rPr>
          <w:rStyle w:val="63"/>
          <w:rFonts w:ascii="Times New Roman"/>
        </w:rPr>
        <w:t>土壤污染风险筛选值</w:t>
      </w:r>
    </w:p>
    <w:p>
      <w:pPr>
        <w:pStyle w:val="62"/>
        <w:tabs>
          <w:tab w:val="center" w:pos="4201"/>
          <w:tab w:val="right" w:leader="dot" w:pos="9298"/>
        </w:tabs>
        <w:spacing w:line="360" w:lineRule="exact"/>
        <w:rPr>
          <w:rStyle w:val="63"/>
          <w:rFonts w:ascii="Times New Roman"/>
        </w:rPr>
      </w:pPr>
      <w:r>
        <w:rPr>
          <w:rStyle w:val="63"/>
          <w:rFonts w:ascii="Times New Roman"/>
        </w:rPr>
        <w:t>按照《土壤环境质量 建设用地土壤污染风险管控标准（试行）》（GB 36600）的规定执行。广西壮族自治区如按照相关法律法规出台土壤污染风险管控标准，优先执行。</w:t>
      </w:r>
    </w:p>
    <w:p>
      <w:pPr>
        <w:pStyle w:val="62"/>
        <w:tabs>
          <w:tab w:val="center" w:pos="4201"/>
          <w:tab w:val="right" w:leader="dot" w:pos="9298"/>
        </w:tabs>
        <w:spacing w:line="360" w:lineRule="exact"/>
        <w:rPr>
          <w:rStyle w:val="63"/>
          <w:rFonts w:ascii="Times New Roman"/>
        </w:rPr>
      </w:pPr>
      <w:r>
        <w:rPr>
          <w:rStyle w:val="63"/>
          <w:rFonts w:ascii="Times New Roman"/>
        </w:rPr>
        <w:t>国家及地方相关标准未涉及到的污染物，可依据《建设用地土壤污染风险评估技术导则》（HJ 25.3）推导特定污染物的土壤污染风险筛选值，但应列出推导筛选值所选择的暴露途径、迁移模型和参数值，相关参数优先采用HJ 25.3的推荐值。未涉及到的污染物也可参考国外相关标准。</w:t>
      </w:r>
    </w:p>
    <w:p>
      <w:pPr>
        <w:pStyle w:val="62"/>
        <w:tabs>
          <w:tab w:val="center" w:pos="4201"/>
          <w:tab w:val="right" w:leader="dot" w:pos="9298"/>
        </w:tabs>
        <w:spacing w:line="360" w:lineRule="exact"/>
        <w:rPr>
          <w:rStyle w:val="63"/>
          <w:rFonts w:ascii="Times New Roman"/>
        </w:rPr>
      </w:pPr>
      <w:bookmarkStart w:id="75" w:name="_Hlk38354482"/>
      <w:r>
        <w:rPr>
          <w:rStyle w:val="63"/>
          <w:rFonts w:ascii="Times New Roman"/>
        </w:rPr>
        <w:t>如调查地块所在区域的背景值高于通过上述方式选取的筛选值，则优先考虑土壤背景值作为筛选值，报告中应明确土壤类型。</w:t>
      </w:r>
      <w:bookmarkEnd w:id="75"/>
      <w:bookmarkStart w:id="76" w:name="_Hlk38354516"/>
    </w:p>
    <w:bookmarkEnd w:id="76"/>
    <w:p>
      <w:pPr>
        <w:pStyle w:val="66"/>
        <w:numPr>
          <w:ilvl w:val="2"/>
          <w:numId w:val="5"/>
        </w:numPr>
        <w:spacing w:before="217" w:beforeLines="50" w:after="217" w:afterLines="50" w:line="360" w:lineRule="exact"/>
        <w:textAlignment w:val="auto"/>
        <w:rPr>
          <w:rStyle w:val="63"/>
          <w:rFonts w:ascii="Times New Roman"/>
        </w:rPr>
      </w:pPr>
      <w:r>
        <w:rPr>
          <w:rStyle w:val="63"/>
          <w:rFonts w:ascii="Times New Roman"/>
        </w:rPr>
        <w:t>地下水污染风险筛选值</w:t>
      </w:r>
    </w:p>
    <w:p>
      <w:pPr>
        <w:pStyle w:val="62"/>
        <w:tabs>
          <w:tab w:val="center" w:pos="4201"/>
          <w:tab w:val="right" w:leader="dot" w:pos="9298"/>
        </w:tabs>
        <w:spacing w:line="360" w:lineRule="exact"/>
        <w:rPr>
          <w:rStyle w:val="63"/>
          <w:rFonts w:ascii="Times New Roman"/>
        </w:rPr>
      </w:pPr>
      <w:r>
        <w:rPr>
          <w:rStyle w:val="63"/>
          <w:rFonts w:ascii="Times New Roman"/>
        </w:rPr>
        <w:t>根据地块所在区域的地下水功能选取。</w:t>
      </w:r>
    </w:p>
    <w:p>
      <w:pPr>
        <w:pStyle w:val="62"/>
        <w:tabs>
          <w:tab w:val="center" w:pos="4201"/>
          <w:tab w:val="right" w:leader="dot" w:pos="9298"/>
        </w:tabs>
        <w:spacing w:line="360" w:lineRule="exact"/>
        <w:rPr>
          <w:rStyle w:val="63"/>
          <w:rFonts w:ascii="Times New Roman"/>
        </w:rPr>
      </w:pPr>
      <w:r>
        <w:rPr>
          <w:rStyle w:val="63"/>
          <w:rFonts w:ascii="Times New Roman"/>
        </w:rPr>
        <w:t>地下水污染羽涉及地下水饮用水源（在用、备用、应急、规划水源）补给径流区和保护区，采用《地下水质量标准》（GB/T 14848）中的Ⅲ类标准限值；地下水污染羽不涉及地下水饮用水源（在用、备用、应急、规划水源）补给径流区和保护区，采用《地下水质量标准》（GB/T 14848）中的Ⅳ类标准。国家及地方相关标准未涉及到的污染物，可依据《建设用地土壤污染风险评估技术导则》（HJ 25.3）推导特定污染物的地下水污染风险筛选值。</w:t>
      </w:r>
    </w:p>
    <w:p>
      <w:pPr>
        <w:pStyle w:val="66"/>
        <w:numPr>
          <w:ilvl w:val="2"/>
          <w:numId w:val="5"/>
        </w:numPr>
        <w:spacing w:before="217" w:beforeLines="50" w:after="217" w:afterLines="50" w:line="360" w:lineRule="exact"/>
        <w:textAlignment w:val="auto"/>
        <w:rPr>
          <w:rStyle w:val="63"/>
          <w:rFonts w:ascii="Times New Roman"/>
        </w:rPr>
      </w:pPr>
      <w:r>
        <w:rPr>
          <w:rStyle w:val="63"/>
          <w:rFonts w:ascii="Times New Roman"/>
        </w:rPr>
        <w:t>底泥污染风险筛选值</w:t>
      </w:r>
    </w:p>
    <w:p>
      <w:pPr>
        <w:pStyle w:val="62"/>
        <w:tabs>
          <w:tab w:val="center" w:pos="4201"/>
          <w:tab w:val="right" w:leader="dot" w:pos="9298"/>
        </w:tabs>
        <w:spacing w:line="360" w:lineRule="exact"/>
        <w:rPr>
          <w:rStyle w:val="63"/>
          <w:rFonts w:ascii="Times New Roman"/>
        </w:rPr>
      </w:pPr>
      <w:r>
        <w:rPr>
          <w:rStyle w:val="63"/>
          <w:rFonts w:ascii="Times New Roman"/>
        </w:rPr>
        <w:t>参照土壤污染风险筛选值。</w:t>
      </w:r>
    </w:p>
    <w:p>
      <w:pPr>
        <w:pStyle w:val="66"/>
        <w:numPr>
          <w:ilvl w:val="2"/>
          <w:numId w:val="5"/>
        </w:numPr>
        <w:spacing w:before="217" w:beforeLines="50" w:after="217" w:afterLines="50" w:line="360" w:lineRule="exact"/>
        <w:textAlignment w:val="auto"/>
        <w:rPr>
          <w:rStyle w:val="63"/>
          <w:rFonts w:ascii="Times New Roman"/>
        </w:rPr>
      </w:pPr>
      <w:r>
        <w:rPr>
          <w:rStyle w:val="63"/>
          <w:rFonts w:ascii="Times New Roman"/>
        </w:rPr>
        <w:t>地表水污染筛选值</w:t>
      </w:r>
    </w:p>
    <w:p>
      <w:pPr>
        <w:pStyle w:val="62"/>
        <w:tabs>
          <w:tab w:val="center" w:pos="4201"/>
          <w:tab w:val="right" w:leader="dot" w:pos="9298"/>
        </w:tabs>
        <w:spacing w:line="360" w:lineRule="exact"/>
        <w:rPr>
          <w:rStyle w:val="63"/>
          <w:rFonts w:ascii="Times New Roman"/>
        </w:rPr>
      </w:pPr>
      <w:r>
        <w:rPr>
          <w:rStyle w:val="63"/>
          <w:rFonts w:ascii="Times New Roman"/>
        </w:rPr>
        <w:t>参照《地表水环境质量标准》（GB 3838）。</w:t>
      </w:r>
    </w:p>
    <w:p>
      <w:pPr>
        <w:pStyle w:val="66"/>
        <w:numPr>
          <w:ilvl w:val="2"/>
          <w:numId w:val="5"/>
        </w:numPr>
        <w:spacing w:before="217" w:beforeLines="50" w:after="217" w:afterLines="50" w:line="360" w:lineRule="exact"/>
        <w:textAlignment w:val="auto"/>
        <w:rPr>
          <w:rStyle w:val="63"/>
          <w:rFonts w:ascii="Times New Roman"/>
        </w:rPr>
      </w:pPr>
      <w:r>
        <w:rPr>
          <w:rStyle w:val="63"/>
          <w:rFonts w:ascii="Times New Roman"/>
        </w:rPr>
        <w:t>残余废弃物</w:t>
      </w:r>
    </w:p>
    <w:p>
      <w:pPr>
        <w:pStyle w:val="62"/>
        <w:tabs>
          <w:tab w:val="center" w:pos="4201"/>
          <w:tab w:val="right" w:leader="dot" w:pos="9298"/>
        </w:tabs>
        <w:spacing w:line="360" w:lineRule="exact"/>
        <w:rPr>
          <w:rStyle w:val="63"/>
          <w:rFonts w:ascii="Times New Roman"/>
        </w:rPr>
      </w:pPr>
      <w:r>
        <w:rPr>
          <w:rStyle w:val="63"/>
          <w:rFonts w:ascii="Times New Roman"/>
        </w:rPr>
        <w:t>按照GB</w:t>
      </w:r>
      <w:r>
        <w:rPr>
          <w:rStyle w:val="63"/>
          <w:rFonts w:hint="eastAsia" w:ascii="Times New Roman"/>
        </w:rPr>
        <w:t xml:space="preserve"> </w:t>
      </w:r>
      <w:r>
        <w:rPr>
          <w:rStyle w:val="63"/>
          <w:rFonts w:ascii="Times New Roman"/>
        </w:rPr>
        <w:t>5085和HJ</w:t>
      </w:r>
      <w:r>
        <w:rPr>
          <w:rStyle w:val="63"/>
          <w:rFonts w:hint="eastAsia" w:ascii="Times New Roman"/>
        </w:rPr>
        <w:t xml:space="preserve"> </w:t>
      </w:r>
      <w:r>
        <w:rPr>
          <w:rStyle w:val="63"/>
          <w:rFonts w:ascii="Times New Roman"/>
        </w:rPr>
        <w:t>298中的指定方法进行。</w:t>
      </w:r>
    </w:p>
    <w:p>
      <w:pPr>
        <w:pStyle w:val="3"/>
        <w:numPr>
          <w:ilvl w:val="1"/>
          <w:numId w:val="5"/>
        </w:numPr>
        <w:spacing w:before="120" w:after="120" w:line="360" w:lineRule="exact"/>
        <w:rPr>
          <w:rFonts w:cs="Times New Roman"/>
        </w:rPr>
      </w:pPr>
      <w:bookmarkStart w:id="77" w:name="_Toc6466"/>
      <w:bookmarkStart w:id="78" w:name="_Toc7261"/>
      <w:r>
        <w:rPr>
          <w:rFonts w:cs="Times New Roman"/>
        </w:rPr>
        <w:t>污染区域的划定</w:t>
      </w:r>
      <w:bookmarkEnd w:id="77"/>
      <w:bookmarkEnd w:id="78"/>
    </w:p>
    <w:p>
      <w:pPr>
        <w:pStyle w:val="62"/>
        <w:tabs>
          <w:tab w:val="center" w:pos="4201"/>
          <w:tab w:val="right" w:leader="dot" w:pos="9298"/>
        </w:tabs>
        <w:spacing w:line="360" w:lineRule="exact"/>
        <w:rPr>
          <w:rStyle w:val="63"/>
          <w:rFonts w:ascii="Times New Roman"/>
        </w:rPr>
      </w:pPr>
      <w:r>
        <w:rPr>
          <w:rStyle w:val="63"/>
          <w:rFonts w:ascii="Times New Roman"/>
        </w:rPr>
        <w:t>根据地块实际情况，如果初步调查存在土壤和地下水超标情况，应采用无污染点位连线的方法结合地块功能分区划定土壤和地下水污染区域，作为详细调查的布点依据。</w:t>
      </w:r>
    </w:p>
    <w:p>
      <w:pPr>
        <w:pStyle w:val="62"/>
        <w:tabs>
          <w:tab w:val="center" w:pos="4201"/>
          <w:tab w:val="right" w:leader="dot" w:pos="9298"/>
        </w:tabs>
        <w:spacing w:line="360" w:lineRule="exact"/>
        <w:rPr>
          <w:rStyle w:val="63"/>
          <w:rFonts w:ascii="Times New Roman"/>
        </w:rPr>
      </w:pPr>
      <w:r>
        <w:rPr>
          <w:rStyle w:val="63"/>
          <w:rFonts w:ascii="Times New Roman"/>
        </w:rPr>
        <w:t>综合初步调查和详细调查的检测结果，以及水文地质条件，确定土壤和地下水污染空间分布。当调查结果不能满足划定地块污染范围或风险评估要求时，则应开展补充采样。</w:t>
      </w:r>
    </w:p>
    <w:p>
      <w:pPr>
        <w:pStyle w:val="3"/>
        <w:numPr>
          <w:ilvl w:val="0"/>
          <w:numId w:val="5"/>
        </w:numPr>
        <w:tabs>
          <w:tab w:val="left" w:pos="420"/>
        </w:tabs>
        <w:spacing w:before="240" w:after="240" w:line="360" w:lineRule="exact"/>
        <w:rPr>
          <w:rFonts w:cs="Times New Roman"/>
        </w:rPr>
      </w:pPr>
      <w:bookmarkStart w:id="79" w:name="_Toc30004"/>
      <w:bookmarkStart w:id="80" w:name="_Toc24639"/>
      <w:r>
        <w:rPr>
          <w:rFonts w:cs="Times New Roman"/>
        </w:rPr>
        <w:t>结论与建议</w:t>
      </w:r>
      <w:bookmarkEnd w:id="79"/>
      <w:bookmarkEnd w:id="80"/>
    </w:p>
    <w:p>
      <w:pPr>
        <w:pStyle w:val="62"/>
        <w:tabs>
          <w:tab w:val="center" w:pos="4201"/>
          <w:tab w:val="right" w:leader="dot" w:pos="9298"/>
        </w:tabs>
        <w:spacing w:line="360" w:lineRule="exact"/>
        <w:rPr>
          <w:rStyle w:val="63"/>
          <w:rFonts w:ascii="Times New Roman"/>
        </w:rPr>
      </w:pPr>
      <w:r>
        <w:rPr>
          <w:rStyle w:val="63"/>
          <w:rFonts w:ascii="Times New Roman"/>
        </w:rPr>
        <w:t>（1）明确地块内土壤和地下水是否受到污染，污染物含量是否超过土壤污染风险管控标准。污染物含量超过土壤污染风险管控标准的，</w:t>
      </w:r>
      <w:r>
        <w:rPr>
          <w:rStyle w:val="63"/>
          <w:rFonts w:hint="eastAsia" w:ascii="Times New Roman"/>
        </w:rPr>
        <w:t>应</w:t>
      </w:r>
      <w:r>
        <w:rPr>
          <w:rStyle w:val="63"/>
          <w:rFonts w:ascii="Times New Roman"/>
        </w:rPr>
        <w:t>明确污染物种类、浓度和空间分布，污染来源，并提出是否需要开展进一步风险评估的建议。</w:t>
      </w:r>
    </w:p>
    <w:p>
      <w:pPr>
        <w:pStyle w:val="62"/>
        <w:tabs>
          <w:tab w:val="center" w:pos="4201"/>
          <w:tab w:val="right" w:leader="dot" w:pos="9298"/>
        </w:tabs>
        <w:spacing w:line="360" w:lineRule="exact"/>
        <w:rPr>
          <w:rStyle w:val="63"/>
          <w:rFonts w:ascii="Times New Roman"/>
        </w:rPr>
      </w:pPr>
      <w:r>
        <w:rPr>
          <w:rStyle w:val="63"/>
          <w:rFonts w:ascii="Times New Roman"/>
        </w:rPr>
        <w:t>（2）规划用途为第二类用地的地块，存在未超第二类用地筛选值标准但超过第一类用地标准的具有一定风险的土壤，且未来再开发利用过程中可能对该部分土壤进行开挖外运，无法确认接收地规划用途的，地块调查结论需对该部分土壤提出后续环境管理要求。</w:t>
      </w:r>
    </w:p>
    <w:p>
      <w:pPr>
        <w:pStyle w:val="62"/>
        <w:tabs>
          <w:tab w:val="center" w:pos="4201"/>
          <w:tab w:val="right" w:leader="dot" w:pos="9298"/>
        </w:tabs>
        <w:spacing w:line="360" w:lineRule="exact"/>
        <w:rPr>
          <w:rStyle w:val="63"/>
          <w:rFonts w:ascii="Times New Roman"/>
        </w:rPr>
        <w:sectPr>
          <w:pgSz w:w="11906" w:h="16838"/>
          <w:pgMar w:top="1276" w:right="1701" w:bottom="1440" w:left="1701" w:header="851" w:footer="992" w:gutter="0"/>
          <w:cols w:space="425" w:num="1"/>
          <w:docGrid w:type="lines" w:linePitch="435" w:charSpace="0"/>
        </w:sectPr>
      </w:pPr>
      <w:r>
        <w:rPr>
          <w:rStyle w:val="63"/>
          <w:rFonts w:ascii="Times New Roman"/>
        </w:rPr>
        <w:t>（3）对于地块存在尚未清理完毕的危废、固废、建/构筑物等，若清运或拆除过程新发现污染或产生二次污染，需对新发现污染或二次污染区域开展补充调查。</w:t>
      </w:r>
    </w:p>
    <w:p>
      <w:pPr>
        <w:spacing w:line="720" w:lineRule="auto"/>
        <w:ind w:firstLine="0" w:firstLineChars="0"/>
        <w:jc w:val="center"/>
        <w:outlineLvl w:val="0"/>
        <w:rPr>
          <w:rFonts w:eastAsia="黑体" w:cs="Times New Roman"/>
          <w:sz w:val="32"/>
          <w:szCs w:val="32"/>
        </w:rPr>
      </w:pPr>
      <w:bookmarkStart w:id="81" w:name="_Toc6237"/>
      <w:bookmarkStart w:id="82" w:name="_Toc24673_WPSOffice_Level1"/>
      <w:bookmarkStart w:id="83" w:name="_Toc17803"/>
      <w:bookmarkStart w:id="84" w:name="_Hlk38354655"/>
      <w:r>
        <w:rPr>
          <w:rFonts w:eastAsia="黑体" w:cs="Times New Roman"/>
          <w:sz w:val="32"/>
          <w:szCs w:val="32"/>
        </w:rPr>
        <w:t>第二章 建设用地土壤污染风险评估报告审查技术要点</w:t>
      </w:r>
      <w:bookmarkEnd w:id="81"/>
      <w:bookmarkEnd w:id="82"/>
      <w:bookmarkEnd w:id="83"/>
    </w:p>
    <w:bookmarkEnd w:id="84"/>
    <w:p>
      <w:pPr>
        <w:pStyle w:val="3"/>
        <w:numPr>
          <w:ilvl w:val="0"/>
          <w:numId w:val="8"/>
        </w:numPr>
        <w:spacing w:before="240" w:after="240" w:line="360" w:lineRule="exact"/>
        <w:rPr>
          <w:rFonts w:cs="Times New Roman"/>
        </w:rPr>
      </w:pPr>
      <w:bookmarkStart w:id="85" w:name="_Toc20480"/>
      <w:bookmarkStart w:id="86" w:name="_Toc1173"/>
      <w:r>
        <w:rPr>
          <w:rFonts w:cs="Times New Roman"/>
        </w:rPr>
        <w:t>危害识别</w:t>
      </w:r>
      <w:bookmarkEnd w:id="85"/>
      <w:bookmarkEnd w:id="86"/>
    </w:p>
    <w:p>
      <w:pPr>
        <w:pStyle w:val="3"/>
        <w:numPr>
          <w:ilvl w:val="1"/>
          <w:numId w:val="8"/>
        </w:numPr>
        <w:spacing w:before="120" w:after="120" w:line="360" w:lineRule="exact"/>
        <w:rPr>
          <w:rFonts w:cs="Times New Roman"/>
        </w:rPr>
      </w:pPr>
      <w:bookmarkStart w:id="87" w:name="_Toc3779"/>
      <w:bookmarkStart w:id="88" w:name="_Toc23039"/>
      <w:r>
        <w:rPr>
          <w:rFonts w:cs="Times New Roman"/>
        </w:rPr>
        <w:t>土地利用方式</w:t>
      </w:r>
      <w:bookmarkEnd w:id="87"/>
      <w:bookmarkEnd w:id="88"/>
    </w:p>
    <w:p>
      <w:pPr>
        <w:pStyle w:val="62"/>
        <w:tabs>
          <w:tab w:val="center" w:pos="4201"/>
          <w:tab w:val="right" w:leader="dot" w:pos="9298"/>
        </w:tabs>
        <w:spacing w:line="360" w:lineRule="exact"/>
        <w:rPr>
          <w:rStyle w:val="63"/>
          <w:rFonts w:ascii="Times New Roman"/>
        </w:rPr>
      </w:pPr>
      <w:r>
        <w:rPr>
          <w:rStyle w:val="63"/>
          <w:rFonts w:ascii="Times New Roman"/>
        </w:rPr>
        <w:t>确定地块未来土地利用方式以及敏感受体，若无明确规划则应按照第一类用地进行风险评估。对于同时包括第一类用地和第二类用地的地块，可分区进行风险评估。</w:t>
      </w:r>
    </w:p>
    <w:p>
      <w:pPr>
        <w:pStyle w:val="3"/>
        <w:numPr>
          <w:ilvl w:val="1"/>
          <w:numId w:val="8"/>
        </w:numPr>
        <w:spacing w:before="120" w:after="120" w:line="360" w:lineRule="exact"/>
        <w:rPr>
          <w:rFonts w:cs="Times New Roman"/>
        </w:rPr>
      </w:pPr>
      <w:bookmarkStart w:id="89" w:name="_Toc30361"/>
      <w:bookmarkStart w:id="90" w:name="_Toc21480"/>
      <w:r>
        <w:rPr>
          <w:rFonts w:cs="Times New Roman"/>
        </w:rPr>
        <w:t>地块环境调查资料</w:t>
      </w:r>
      <w:bookmarkEnd w:id="89"/>
      <w:bookmarkEnd w:id="90"/>
    </w:p>
    <w:p>
      <w:pPr>
        <w:pStyle w:val="62"/>
        <w:tabs>
          <w:tab w:val="center" w:pos="4201"/>
          <w:tab w:val="right" w:leader="dot" w:pos="9298"/>
        </w:tabs>
        <w:spacing w:line="360" w:lineRule="exact"/>
        <w:rPr>
          <w:rStyle w:val="63"/>
          <w:rFonts w:ascii="Times New Roman"/>
        </w:rPr>
      </w:pPr>
      <w:r>
        <w:rPr>
          <w:rStyle w:val="63"/>
          <w:rFonts w:ascii="Times New Roman"/>
        </w:rPr>
        <w:t>地块环境调查资料应满足风险评估要求。</w:t>
      </w:r>
    </w:p>
    <w:p>
      <w:pPr>
        <w:pStyle w:val="62"/>
        <w:tabs>
          <w:tab w:val="center" w:pos="4201"/>
          <w:tab w:val="right" w:leader="dot" w:pos="9298"/>
        </w:tabs>
        <w:spacing w:line="360" w:lineRule="exact"/>
        <w:rPr>
          <w:rStyle w:val="63"/>
          <w:rFonts w:ascii="Times New Roman"/>
        </w:rPr>
      </w:pPr>
      <w:r>
        <w:rPr>
          <w:rStyle w:val="63"/>
          <w:rFonts w:ascii="Times New Roman"/>
        </w:rPr>
        <w:t>应详细描述地块相关资料及历史信息，包括土壤理化性质数据、区域气候、地块水文地质特征信息和数据、地块土壤和地下水污染数据。</w:t>
      </w:r>
    </w:p>
    <w:p>
      <w:pPr>
        <w:pStyle w:val="3"/>
        <w:numPr>
          <w:ilvl w:val="1"/>
          <w:numId w:val="8"/>
        </w:numPr>
        <w:spacing w:before="120" w:after="120" w:line="360" w:lineRule="exact"/>
        <w:rPr>
          <w:rFonts w:cs="Times New Roman"/>
        </w:rPr>
      </w:pPr>
      <w:bookmarkStart w:id="91" w:name="_Toc10466"/>
      <w:bookmarkStart w:id="92" w:name="_Toc3321"/>
      <w:r>
        <w:rPr>
          <w:rFonts w:cs="Times New Roman"/>
        </w:rPr>
        <w:t>确定关注污染物</w:t>
      </w:r>
      <w:bookmarkEnd w:id="91"/>
      <w:bookmarkEnd w:id="92"/>
    </w:p>
    <w:p>
      <w:pPr>
        <w:pStyle w:val="62"/>
        <w:tabs>
          <w:tab w:val="center" w:pos="4201"/>
          <w:tab w:val="right" w:leader="dot" w:pos="9298"/>
        </w:tabs>
        <w:spacing w:line="360" w:lineRule="exact"/>
        <w:rPr>
          <w:rStyle w:val="63"/>
          <w:rFonts w:ascii="Times New Roman"/>
        </w:rPr>
      </w:pPr>
      <w:r>
        <w:rPr>
          <w:rStyle w:val="63"/>
          <w:rFonts w:ascii="Times New Roman"/>
        </w:rPr>
        <w:t>根据土壤污染状况调查和监测结果，将超过建设用地相关标准的污染物，确定为关注污染物，采用关注污染物最大检测浓度作为暴露点浓度进行风险计算。</w:t>
      </w:r>
    </w:p>
    <w:p>
      <w:pPr>
        <w:pStyle w:val="3"/>
        <w:numPr>
          <w:ilvl w:val="0"/>
          <w:numId w:val="8"/>
        </w:numPr>
        <w:spacing w:before="240" w:after="240" w:line="360" w:lineRule="exact"/>
        <w:rPr>
          <w:rFonts w:cs="Times New Roman"/>
        </w:rPr>
      </w:pPr>
      <w:bookmarkStart w:id="93" w:name="_Toc29057"/>
      <w:bookmarkStart w:id="94" w:name="_Toc3689"/>
      <w:bookmarkStart w:id="95" w:name="_Hlk40696554"/>
      <w:r>
        <w:rPr>
          <w:rFonts w:cs="Times New Roman"/>
        </w:rPr>
        <w:t>暴露评估</w:t>
      </w:r>
      <w:bookmarkEnd w:id="93"/>
      <w:bookmarkEnd w:id="94"/>
    </w:p>
    <w:p>
      <w:pPr>
        <w:pStyle w:val="3"/>
        <w:numPr>
          <w:ilvl w:val="1"/>
          <w:numId w:val="8"/>
        </w:numPr>
        <w:spacing w:before="120" w:after="120" w:line="360" w:lineRule="exact"/>
        <w:rPr>
          <w:rFonts w:cs="Times New Roman"/>
        </w:rPr>
      </w:pPr>
      <w:bookmarkStart w:id="96" w:name="_Toc18530"/>
      <w:bookmarkStart w:id="97" w:name="_Toc31586"/>
      <w:bookmarkStart w:id="98" w:name="_Hlk43022301"/>
      <w:r>
        <w:rPr>
          <w:rFonts w:cs="Times New Roman"/>
        </w:rPr>
        <w:t>暴露情景及暴露途径</w:t>
      </w:r>
      <w:bookmarkEnd w:id="96"/>
      <w:bookmarkEnd w:id="97"/>
    </w:p>
    <w:bookmarkEnd w:id="98"/>
    <w:p>
      <w:pPr>
        <w:pStyle w:val="62"/>
        <w:tabs>
          <w:tab w:val="center" w:pos="4201"/>
          <w:tab w:val="right" w:leader="dot" w:pos="9298"/>
        </w:tabs>
        <w:spacing w:line="360" w:lineRule="exact"/>
        <w:rPr>
          <w:rStyle w:val="63"/>
          <w:rFonts w:ascii="Times New Roman"/>
        </w:rPr>
      </w:pPr>
      <w:r>
        <w:rPr>
          <w:rStyle w:val="63"/>
          <w:rFonts w:ascii="Times New Roman"/>
        </w:rPr>
        <w:t>根据实际暴露情景确定暴露途径，建设用地土壤及地下水的主要暴露途径见表2-1。</w:t>
      </w:r>
    </w:p>
    <w:p>
      <w:pPr>
        <w:pStyle w:val="62"/>
        <w:tabs>
          <w:tab w:val="center" w:pos="4201"/>
          <w:tab w:val="right" w:leader="dot" w:pos="9298"/>
        </w:tabs>
        <w:spacing w:line="360" w:lineRule="exact"/>
        <w:rPr>
          <w:rStyle w:val="63"/>
          <w:rFonts w:ascii="Times New Roman"/>
        </w:rPr>
      </w:pPr>
      <w:r>
        <w:rPr>
          <w:rStyle w:val="63"/>
          <w:rFonts w:ascii="Times New Roman"/>
        </w:rPr>
        <w:t>表层土壤主要暴露途径一般选择表2-1的1~6，不开挖或不扰动的下层土壤暴露途径选择表2-1的5~6。</w:t>
      </w:r>
    </w:p>
    <w:p>
      <w:pPr>
        <w:pStyle w:val="62"/>
        <w:tabs>
          <w:tab w:val="center" w:pos="4201"/>
          <w:tab w:val="right" w:leader="dot" w:pos="9298"/>
        </w:tabs>
        <w:spacing w:line="360" w:lineRule="exact"/>
        <w:rPr>
          <w:rStyle w:val="63"/>
          <w:rFonts w:ascii="Times New Roman"/>
        </w:rPr>
      </w:pPr>
      <w:r>
        <w:rPr>
          <w:rStyle w:val="63"/>
          <w:rFonts w:ascii="Times New Roman"/>
        </w:rPr>
        <w:t>地下水主要暴露途径一般选择7~8；如地块地下水可能被用作饮用水，则地下水暴露途径应选择7~9。</w:t>
      </w:r>
    </w:p>
    <w:p>
      <w:pPr>
        <w:adjustRightInd w:val="0"/>
        <w:spacing w:line="360" w:lineRule="exact"/>
        <w:ind w:firstLine="0" w:firstLineChars="0"/>
        <w:jc w:val="center"/>
        <w:rPr>
          <w:rFonts w:eastAsia="黑体" w:cs="Times New Roman"/>
          <w:sz w:val="22"/>
          <w:szCs w:val="21"/>
        </w:rPr>
      </w:pPr>
      <w:r>
        <w:rPr>
          <w:rFonts w:eastAsia="黑体" w:cs="Times New Roman"/>
          <w:sz w:val="22"/>
          <w:szCs w:val="21"/>
        </w:rPr>
        <w:t>表2-1 暴露途径</w:t>
      </w:r>
    </w:p>
    <w:tbl>
      <w:tblPr>
        <w:tblStyle w:val="18"/>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574"/>
        <w:gridCol w:w="5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序号</w:t>
            </w:r>
          </w:p>
        </w:tc>
        <w:tc>
          <w:tcPr>
            <w:tcW w:w="1574"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分类</w:t>
            </w:r>
          </w:p>
        </w:tc>
        <w:tc>
          <w:tcPr>
            <w:tcW w:w="5667"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暴露途径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9"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w:t>
            </w:r>
          </w:p>
        </w:tc>
        <w:tc>
          <w:tcPr>
            <w:tcW w:w="1574" w:type="dxa"/>
            <w:vMerge w:val="restart"/>
            <w:tcBorders>
              <w:top w:val="single" w:color="auto" w:sz="4" w:space="0"/>
              <w:left w:val="single" w:color="auto" w:sz="4" w:space="0"/>
              <w:right w:val="single" w:color="auto"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污染土壤暴露途径</w:t>
            </w:r>
          </w:p>
        </w:tc>
        <w:tc>
          <w:tcPr>
            <w:tcW w:w="5667"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rPr>
                <w:rFonts w:eastAsia="宋体" w:cs="Times New Roman"/>
                <w:sz w:val="18"/>
                <w:szCs w:val="18"/>
              </w:rPr>
            </w:pPr>
            <w:r>
              <w:rPr>
                <w:rFonts w:eastAsia="宋体" w:cs="Times New Roman"/>
                <w:sz w:val="18"/>
                <w:szCs w:val="18"/>
              </w:rPr>
              <w:t>经口摄入表层土壤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w:t>
            </w:r>
          </w:p>
        </w:tc>
        <w:tc>
          <w:tcPr>
            <w:tcW w:w="1574" w:type="dxa"/>
            <w:vMerge w:val="continue"/>
            <w:tcBorders>
              <w:left w:val="single" w:color="auto" w:sz="4" w:space="0"/>
              <w:right w:val="single" w:color="auto" w:sz="4" w:space="0"/>
            </w:tcBorders>
            <w:vAlign w:val="center"/>
          </w:tcPr>
          <w:p>
            <w:pPr>
              <w:widowControl/>
              <w:adjustRightInd w:val="0"/>
              <w:spacing w:line="360" w:lineRule="exact"/>
              <w:ind w:firstLine="360"/>
              <w:jc w:val="center"/>
              <w:rPr>
                <w:rFonts w:eastAsia="宋体" w:cs="Times New Roman"/>
                <w:sz w:val="18"/>
                <w:szCs w:val="18"/>
              </w:rPr>
            </w:pPr>
          </w:p>
        </w:tc>
        <w:tc>
          <w:tcPr>
            <w:tcW w:w="5667"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rPr>
                <w:rFonts w:eastAsia="宋体" w:cs="Times New Roman"/>
                <w:sz w:val="18"/>
                <w:szCs w:val="18"/>
              </w:rPr>
            </w:pPr>
            <w:r>
              <w:rPr>
                <w:rFonts w:eastAsia="宋体" w:cs="Times New Roman"/>
                <w:sz w:val="18"/>
                <w:szCs w:val="18"/>
              </w:rPr>
              <w:t>皮肤接触表层土壤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9"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3</w:t>
            </w:r>
          </w:p>
        </w:tc>
        <w:tc>
          <w:tcPr>
            <w:tcW w:w="1574" w:type="dxa"/>
            <w:vMerge w:val="continue"/>
            <w:tcBorders>
              <w:left w:val="single" w:color="auto" w:sz="4" w:space="0"/>
              <w:right w:val="single" w:color="auto" w:sz="4" w:space="0"/>
            </w:tcBorders>
            <w:vAlign w:val="center"/>
          </w:tcPr>
          <w:p>
            <w:pPr>
              <w:widowControl/>
              <w:adjustRightInd w:val="0"/>
              <w:spacing w:line="360" w:lineRule="exact"/>
              <w:ind w:firstLine="360"/>
              <w:jc w:val="center"/>
              <w:rPr>
                <w:rFonts w:eastAsia="宋体" w:cs="Times New Roman"/>
                <w:sz w:val="18"/>
                <w:szCs w:val="18"/>
              </w:rPr>
            </w:pPr>
          </w:p>
        </w:tc>
        <w:tc>
          <w:tcPr>
            <w:tcW w:w="5667"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rPr>
                <w:rFonts w:eastAsia="宋体" w:cs="Times New Roman"/>
                <w:sz w:val="18"/>
                <w:szCs w:val="18"/>
              </w:rPr>
            </w:pPr>
            <w:r>
              <w:rPr>
                <w:rFonts w:eastAsia="宋体" w:cs="Times New Roman"/>
                <w:sz w:val="18"/>
                <w:szCs w:val="18"/>
              </w:rPr>
              <w:t>吸入表层土壤颗粒物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4</w:t>
            </w:r>
          </w:p>
        </w:tc>
        <w:tc>
          <w:tcPr>
            <w:tcW w:w="1574" w:type="dxa"/>
            <w:vMerge w:val="continue"/>
            <w:tcBorders>
              <w:left w:val="single" w:color="auto" w:sz="4" w:space="0"/>
              <w:right w:val="single" w:color="auto" w:sz="4" w:space="0"/>
            </w:tcBorders>
            <w:vAlign w:val="center"/>
          </w:tcPr>
          <w:p>
            <w:pPr>
              <w:widowControl/>
              <w:adjustRightInd w:val="0"/>
              <w:spacing w:line="360" w:lineRule="exact"/>
              <w:ind w:firstLine="360"/>
              <w:jc w:val="center"/>
              <w:rPr>
                <w:rFonts w:eastAsia="宋体" w:cs="Times New Roman"/>
                <w:sz w:val="18"/>
                <w:szCs w:val="18"/>
              </w:rPr>
            </w:pPr>
          </w:p>
        </w:tc>
        <w:tc>
          <w:tcPr>
            <w:tcW w:w="5667"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rPr>
                <w:rFonts w:eastAsia="宋体" w:cs="Times New Roman"/>
                <w:sz w:val="18"/>
                <w:szCs w:val="18"/>
              </w:rPr>
            </w:pPr>
            <w:r>
              <w:rPr>
                <w:rFonts w:eastAsia="宋体" w:cs="Times New Roman"/>
                <w:sz w:val="18"/>
                <w:szCs w:val="18"/>
              </w:rPr>
              <w:t>吸入室外空气中来自表层土壤的气态污染物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9"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w:t>
            </w:r>
          </w:p>
        </w:tc>
        <w:tc>
          <w:tcPr>
            <w:tcW w:w="1574" w:type="dxa"/>
            <w:vMerge w:val="continue"/>
            <w:tcBorders>
              <w:left w:val="single" w:color="auto" w:sz="4" w:space="0"/>
              <w:right w:val="single" w:color="auto" w:sz="4" w:space="0"/>
            </w:tcBorders>
            <w:vAlign w:val="center"/>
          </w:tcPr>
          <w:p>
            <w:pPr>
              <w:widowControl/>
              <w:adjustRightInd w:val="0"/>
              <w:spacing w:line="360" w:lineRule="exact"/>
              <w:ind w:firstLine="360"/>
              <w:jc w:val="center"/>
              <w:rPr>
                <w:rFonts w:eastAsia="宋体" w:cs="Times New Roman"/>
                <w:sz w:val="18"/>
                <w:szCs w:val="18"/>
              </w:rPr>
            </w:pPr>
          </w:p>
        </w:tc>
        <w:tc>
          <w:tcPr>
            <w:tcW w:w="5667"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rPr>
                <w:rFonts w:eastAsia="宋体" w:cs="Times New Roman"/>
                <w:sz w:val="18"/>
                <w:szCs w:val="18"/>
              </w:rPr>
            </w:pPr>
            <w:r>
              <w:rPr>
                <w:rFonts w:eastAsia="宋体" w:cs="Times New Roman"/>
                <w:sz w:val="18"/>
                <w:szCs w:val="18"/>
              </w:rPr>
              <w:t>吸入室外空气中来自下层土壤的气态污染物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6</w:t>
            </w:r>
          </w:p>
        </w:tc>
        <w:tc>
          <w:tcPr>
            <w:tcW w:w="1574" w:type="dxa"/>
            <w:vMerge w:val="continue"/>
            <w:tcBorders>
              <w:left w:val="single" w:color="auto" w:sz="4" w:space="0"/>
              <w:right w:val="single" w:color="auto" w:sz="4" w:space="0"/>
            </w:tcBorders>
            <w:vAlign w:val="center"/>
          </w:tcPr>
          <w:p>
            <w:pPr>
              <w:widowControl/>
              <w:adjustRightInd w:val="0"/>
              <w:spacing w:line="360" w:lineRule="exact"/>
              <w:ind w:firstLine="360"/>
              <w:jc w:val="center"/>
              <w:rPr>
                <w:rFonts w:eastAsia="宋体" w:cs="Times New Roman"/>
                <w:sz w:val="18"/>
                <w:szCs w:val="18"/>
              </w:rPr>
            </w:pPr>
          </w:p>
        </w:tc>
        <w:tc>
          <w:tcPr>
            <w:tcW w:w="5667"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rPr>
                <w:rFonts w:eastAsia="宋体" w:cs="Times New Roman"/>
                <w:sz w:val="18"/>
                <w:szCs w:val="18"/>
              </w:rPr>
            </w:pPr>
            <w:r>
              <w:rPr>
                <w:rFonts w:eastAsia="宋体" w:cs="Times New Roman"/>
                <w:sz w:val="18"/>
                <w:szCs w:val="18"/>
              </w:rPr>
              <w:t>吸入室内空气中来自下层土壤的气态污染物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9"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7</w:t>
            </w:r>
          </w:p>
        </w:tc>
        <w:tc>
          <w:tcPr>
            <w:tcW w:w="1574" w:type="dxa"/>
            <w:vMerge w:val="restart"/>
            <w:tcBorders>
              <w:top w:val="single" w:color="auto" w:sz="4" w:space="0"/>
              <w:left w:val="single" w:color="auto" w:sz="4" w:space="0"/>
              <w:right w:val="single" w:color="auto"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污染地下水暴露途径</w:t>
            </w:r>
          </w:p>
        </w:tc>
        <w:tc>
          <w:tcPr>
            <w:tcW w:w="5667"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rPr>
                <w:rFonts w:eastAsia="宋体" w:cs="Times New Roman"/>
                <w:sz w:val="18"/>
                <w:szCs w:val="18"/>
              </w:rPr>
            </w:pPr>
            <w:r>
              <w:rPr>
                <w:rFonts w:eastAsia="宋体" w:cs="Times New Roman"/>
                <w:sz w:val="18"/>
                <w:szCs w:val="18"/>
              </w:rPr>
              <w:t>吸入室外空气中来自地下水的气态污染物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8</w:t>
            </w:r>
          </w:p>
        </w:tc>
        <w:tc>
          <w:tcPr>
            <w:tcW w:w="1574" w:type="dxa"/>
            <w:vMerge w:val="continue"/>
            <w:tcBorders>
              <w:left w:val="single" w:color="auto" w:sz="4" w:space="0"/>
              <w:right w:val="single" w:color="auto" w:sz="4" w:space="0"/>
            </w:tcBorders>
            <w:vAlign w:val="center"/>
          </w:tcPr>
          <w:p>
            <w:pPr>
              <w:widowControl/>
              <w:adjustRightInd w:val="0"/>
              <w:spacing w:line="360" w:lineRule="exact"/>
              <w:ind w:firstLine="360"/>
              <w:jc w:val="left"/>
              <w:rPr>
                <w:rFonts w:eastAsia="宋体" w:cs="Times New Roman"/>
                <w:sz w:val="18"/>
                <w:szCs w:val="18"/>
              </w:rPr>
            </w:pPr>
          </w:p>
        </w:tc>
        <w:tc>
          <w:tcPr>
            <w:tcW w:w="5667"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rPr>
                <w:rFonts w:eastAsia="宋体" w:cs="Times New Roman"/>
                <w:sz w:val="18"/>
                <w:szCs w:val="18"/>
              </w:rPr>
            </w:pPr>
            <w:r>
              <w:rPr>
                <w:rFonts w:eastAsia="宋体" w:cs="Times New Roman"/>
                <w:sz w:val="18"/>
                <w:szCs w:val="18"/>
              </w:rPr>
              <w:t>吸入室内空气中来自地下水的气态污染物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9"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9</w:t>
            </w:r>
          </w:p>
        </w:tc>
        <w:tc>
          <w:tcPr>
            <w:tcW w:w="1574" w:type="dxa"/>
            <w:vMerge w:val="continue"/>
            <w:tcBorders>
              <w:left w:val="single" w:color="auto" w:sz="4" w:space="0"/>
              <w:right w:val="single" w:color="auto" w:sz="4" w:space="0"/>
            </w:tcBorders>
            <w:vAlign w:val="center"/>
          </w:tcPr>
          <w:p>
            <w:pPr>
              <w:widowControl/>
              <w:adjustRightInd w:val="0"/>
              <w:spacing w:line="360" w:lineRule="exact"/>
              <w:ind w:firstLine="360"/>
              <w:jc w:val="left"/>
              <w:rPr>
                <w:rFonts w:eastAsia="宋体" w:cs="Times New Roman"/>
                <w:sz w:val="18"/>
                <w:szCs w:val="18"/>
              </w:rPr>
            </w:pPr>
          </w:p>
        </w:tc>
        <w:tc>
          <w:tcPr>
            <w:tcW w:w="5667"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ind w:firstLine="0" w:firstLineChars="0"/>
              <w:rPr>
                <w:rFonts w:eastAsia="宋体" w:cs="Times New Roman"/>
                <w:sz w:val="18"/>
                <w:szCs w:val="18"/>
              </w:rPr>
            </w:pPr>
            <w:r>
              <w:rPr>
                <w:rFonts w:eastAsia="宋体" w:cs="Times New Roman"/>
                <w:sz w:val="18"/>
                <w:szCs w:val="18"/>
              </w:rPr>
              <w:t>经口摄入地下水（具有饮用功能的地下水暴露途径）</w:t>
            </w:r>
          </w:p>
        </w:tc>
      </w:tr>
    </w:tbl>
    <w:p>
      <w:pPr>
        <w:pStyle w:val="3"/>
        <w:numPr>
          <w:ilvl w:val="1"/>
          <w:numId w:val="8"/>
        </w:numPr>
        <w:spacing w:before="120" w:after="120" w:line="360" w:lineRule="exact"/>
        <w:rPr>
          <w:rFonts w:cs="Times New Roman"/>
        </w:rPr>
      </w:pPr>
      <w:bookmarkStart w:id="99" w:name="_Toc15101"/>
      <w:bookmarkStart w:id="100" w:name="_Toc1031"/>
      <w:r>
        <w:rPr>
          <w:rFonts w:cs="Times New Roman"/>
        </w:rPr>
        <w:t>风险评估的参数选择</w:t>
      </w:r>
      <w:bookmarkEnd w:id="99"/>
      <w:bookmarkEnd w:id="100"/>
      <w:r>
        <w:rPr>
          <w:rFonts w:cs="Times New Roman"/>
        </w:rPr>
        <w:t xml:space="preserve"> </w:t>
      </w:r>
    </w:p>
    <w:p>
      <w:pPr>
        <w:pStyle w:val="66"/>
        <w:numPr>
          <w:ilvl w:val="2"/>
          <w:numId w:val="8"/>
        </w:numPr>
        <w:spacing w:before="217" w:beforeLines="50" w:after="217" w:afterLines="50" w:line="360" w:lineRule="exact"/>
        <w:textAlignment w:val="auto"/>
        <w:rPr>
          <w:rStyle w:val="63"/>
          <w:rFonts w:ascii="Times New Roman"/>
        </w:rPr>
      </w:pPr>
      <w:r>
        <w:rPr>
          <w:rStyle w:val="63"/>
          <w:rFonts w:ascii="Times New Roman"/>
        </w:rPr>
        <w:t>污染物理化和毒性参数</w:t>
      </w:r>
    </w:p>
    <w:p>
      <w:pPr>
        <w:pStyle w:val="62"/>
        <w:tabs>
          <w:tab w:val="center" w:pos="4201"/>
          <w:tab w:val="right" w:leader="dot" w:pos="9298"/>
        </w:tabs>
        <w:spacing w:line="360" w:lineRule="exact"/>
        <w:rPr>
          <w:rStyle w:val="63"/>
          <w:rFonts w:ascii="Times New Roman"/>
          <w:lang w:val="en"/>
        </w:rPr>
      </w:pPr>
      <w:r>
        <w:rPr>
          <w:rStyle w:val="63"/>
          <w:rFonts w:ascii="Times New Roman"/>
          <w:lang w:val="en"/>
        </w:rPr>
        <w:t>原则上选择《建设用地土壤污染风险评估技术导则》</w:t>
      </w:r>
      <w:r>
        <w:rPr>
          <w:rStyle w:val="63"/>
          <w:rFonts w:ascii="Times New Roman"/>
        </w:rPr>
        <w:t>（HJ</w:t>
      </w:r>
      <w:r>
        <w:rPr>
          <w:rStyle w:val="63"/>
          <w:rFonts w:hint="eastAsia" w:ascii="Times New Roman"/>
        </w:rPr>
        <w:t xml:space="preserve"> </w:t>
      </w:r>
      <w:r>
        <w:rPr>
          <w:rStyle w:val="63"/>
          <w:rFonts w:ascii="Times New Roman"/>
        </w:rPr>
        <w:t>25.3）</w:t>
      </w:r>
      <w:r>
        <w:rPr>
          <w:rStyle w:val="63"/>
          <w:rFonts w:ascii="Times New Roman"/>
          <w:lang w:val="en"/>
        </w:rPr>
        <w:t>所规定的参数；《建设用地土壤污染风险评估技术导则》</w:t>
      </w:r>
      <w:r>
        <w:rPr>
          <w:rStyle w:val="63"/>
          <w:rFonts w:ascii="Times New Roman"/>
        </w:rPr>
        <w:t>（HJ</w:t>
      </w:r>
      <w:r>
        <w:rPr>
          <w:rStyle w:val="63"/>
          <w:rFonts w:hint="eastAsia" w:ascii="Times New Roman"/>
        </w:rPr>
        <w:t xml:space="preserve"> </w:t>
      </w:r>
      <w:r>
        <w:rPr>
          <w:rStyle w:val="63"/>
          <w:rFonts w:ascii="Times New Roman"/>
        </w:rPr>
        <w:t>25.3）</w:t>
      </w:r>
      <w:r>
        <w:rPr>
          <w:rStyle w:val="63"/>
          <w:rFonts w:ascii="Times New Roman"/>
          <w:lang w:val="en"/>
        </w:rPr>
        <w:t>未规定的，可引用国际上权威机构发布的具有较高认可度的数据库中的参数，并明确说明数据来源及选择依据。</w:t>
      </w:r>
    </w:p>
    <w:p>
      <w:pPr>
        <w:pStyle w:val="66"/>
        <w:numPr>
          <w:ilvl w:val="2"/>
          <w:numId w:val="8"/>
        </w:numPr>
        <w:spacing w:before="217" w:beforeLines="50" w:after="217" w:afterLines="50" w:line="360" w:lineRule="exact"/>
        <w:textAlignment w:val="auto"/>
        <w:rPr>
          <w:rStyle w:val="63"/>
          <w:rFonts w:ascii="Times New Roman"/>
        </w:rPr>
      </w:pPr>
      <w:r>
        <w:rPr>
          <w:rStyle w:val="63"/>
          <w:rFonts w:ascii="Times New Roman"/>
        </w:rPr>
        <w:t>污染地块的特征参数</w:t>
      </w:r>
    </w:p>
    <w:p>
      <w:pPr>
        <w:pStyle w:val="62"/>
        <w:tabs>
          <w:tab w:val="center" w:pos="4201"/>
          <w:tab w:val="right" w:leader="dot" w:pos="9298"/>
        </w:tabs>
        <w:spacing w:line="360" w:lineRule="exact"/>
        <w:rPr>
          <w:rStyle w:val="63"/>
          <w:rFonts w:ascii="Times New Roman"/>
        </w:rPr>
      </w:pPr>
      <w:r>
        <w:rPr>
          <w:rStyle w:val="63"/>
          <w:rFonts w:ascii="Times New Roman"/>
        </w:rPr>
        <w:t>对于各种暴露途径涉及的土壤和水文地质的特征参数，应通过</w:t>
      </w:r>
      <w:r>
        <w:rPr>
          <w:rStyle w:val="63"/>
          <w:rFonts w:ascii="Times New Roman"/>
          <w:lang w:val="en"/>
        </w:rPr>
        <w:t>水文地质调查、室内土工试验等方式获取实测数据</w:t>
      </w:r>
      <w:r>
        <w:rPr>
          <w:rStyle w:val="63"/>
          <w:rFonts w:ascii="Times New Roman"/>
        </w:rPr>
        <w:t>，对于面积较大且水文地质情况复杂的地块，可分区域获取地块特征参数，风险评估报告中应有参数选取的来源说明。其中，表2-2的参数值应根据地块实测数据定值。</w:t>
      </w:r>
    </w:p>
    <w:p>
      <w:pPr>
        <w:adjustRightInd w:val="0"/>
        <w:spacing w:line="360" w:lineRule="exact"/>
        <w:ind w:firstLine="0" w:firstLineChars="0"/>
        <w:jc w:val="center"/>
        <w:rPr>
          <w:rFonts w:eastAsia="黑体" w:cs="Times New Roman"/>
          <w:sz w:val="22"/>
          <w:szCs w:val="21"/>
        </w:rPr>
      </w:pPr>
      <w:r>
        <w:rPr>
          <w:rFonts w:eastAsia="黑体" w:cs="Times New Roman"/>
          <w:sz w:val="22"/>
          <w:szCs w:val="21"/>
        </w:rPr>
        <w:t xml:space="preserve">  表2-2 建设用地土壤污染风险评估应实测的参数和取值原则*</w:t>
      </w:r>
    </w:p>
    <w:tbl>
      <w:tblPr>
        <w:tblStyle w:val="18"/>
        <w:tblW w:w="7771" w:type="dxa"/>
        <w:jc w:val="center"/>
        <w:tblLayout w:type="fixed"/>
        <w:tblCellMar>
          <w:top w:w="0" w:type="dxa"/>
          <w:left w:w="108" w:type="dxa"/>
          <w:bottom w:w="0" w:type="dxa"/>
          <w:right w:w="108" w:type="dxa"/>
        </w:tblCellMar>
      </w:tblPr>
      <w:tblGrid>
        <w:gridCol w:w="1113"/>
        <w:gridCol w:w="2655"/>
        <w:gridCol w:w="1134"/>
        <w:gridCol w:w="2869"/>
      </w:tblGrid>
      <w:tr>
        <w:tblPrEx>
          <w:tblCellMar>
            <w:top w:w="0" w:type="dxa"/>
            <w:left w:w="108" w:type="dxa"/>
            <w:bottom w:w="0" w:type="dxa"/>
            <w:right w:w="108" w:type="dxa"/>
          </w:tblCellMar>
        </w:tblPrEx>
        <w:trPr>
          <w:trHeight w:val="576" w:hRule="atLeast"/>
          <w:tblHeader/>
          <w:jc w:val="center"/>
        </w:trPr>
        <w:tc>
          <w:tcPr>
            <w:tcW w:w="11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sz w:val="18"/>
                <w:szCs w:val="18"/>
              </w:rPr>
            </w:pPr>
            <w:r>
              <w:rPr>
                <w:rFonts w:eastAsia="宋体" w:cs="Times New Roman"/>
                <w:sz w:val="18"/>
                <w:szCs w:val="18"/>
              </w:rPr>
              <w:t>参数符号</w:t>
            </w:r>
          </w:p>
        </w:tc>
        <w:tc>
          <w:tcPr>
            <w:tcW w:w="2655"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sz w:val="18"/>
                <w:szCs w:val="18"/>
              </w:rPr>
            </w:pPr>
            <w:r>
              <w:rPr>
                <w:rFonts w:eastAsia="宋体" w:cs="Times New Roman"/>
                <w:sz w:val="18"/>
                <w:szCs w:val="18"/>
              </w:rPr>
              <w:t>参数名称</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sz w:val="18"/>
                <w:szCs w:val="18"/>
              </w:rPr>
            </w:pPr>
            <w:r>
              <w:rPr>
                <w:rFonts w:eastAsia="宋体" w:cs="Times New Roman"/>
                <w:sz w:val="18"/>
                <w:szCs w:val="18"/>
              </w:rPr>
              <w:t>单位</w:t>
            </w:r>
          </w:p>
        </w:tc>
        <w:tc>
          <w:tcPr>
            <w:tcW w:w="2869" w:type="dxa"/>
            <w:tcBorders>
              <w:top w:val="single" w:color="auto" w:sz="4" w:space="0"/>
              <w:left w:val="nil"/>
              <w:bottom w:val="single" w:color="auto" w:sz="4" w:space="0"/>
              <w:right w:val="single" w:color="auto" w:sz="4" w:space="0"/>
            </w:tcBorders>
            <w:vAlign w:val="center"/>
          </w:tcPr>
          <w:p>
            <w:pPr>
              <w:widowControl/>
              <w:adjustRightInd w:val="0"/>
              <w:spacing w:line="360" w:lineRule="exact"/>
              <w:ind w:firstLine="0" w:firstLineChars="0"/>
              <w:jc w:val="center"/>
              <w:rPr>
                <w:rFonts w:eastAsia="宋体" w:cs="Times New Roman"/>
                <w:sz w:val="18"/>
                <w:szCs w:val="18"/>
              </w:rPr>
            </w:pPr>
            <w:r>
              <w:rPr>
                <w:rFonts w:eastAsia="宋体" w:cs="Times New Roman"/>
                <w:sz w:val="18"/>
                <w:szCs w:val="18"/>
              </w:rPr>
              <w:t>取值原则</w:t>
            </w:r>
          </w:p>
        </w:tc>
      </w:tr>
      <w:tr>
        <w:tblPrEx>
          <w:tblCellMar>
            <w:top w:w="0" w:type="dxa"/>
            <w:left w:w="108" w:type="dxa"/>
            <w:bottom w:w="0" w:type="dxa"/>
            <w:right w:w="108" w:type="dxa"/>
          </w:tblCellMar>
        </w:tblPrEx>
        <w:trPr>
          <w:trHeight w:val="397" w:hRule="exact"/>
          <w:jc w:val="center"/>
        </w:trPr>
        <w:tc>
          <w:tcPr>
            <w:tcW w:w="1113" w:type="dxa"/>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i/>
                <w:iCs/>
                <w:color w:val="000000"/>
                <w:kern w:val="0"/>
                <w:sz w:val="18"/>
                <w:szCs w:val="18"/>
              </w:rPr>
            </w:pPr>
            <w:r>
              <w:rPr>
                <w:rFonts w:eastAsia="宋体" w:cs="Times New Roman"/>
                <w:i/>
                <w:iCs/>
                <w:color w:val="000000"/>
                <w:kern w:val="0"/>
                <w:sz w:val="18"/>
                <w:szCs w:val="18"/>
              </w:rPr>
              <w:t>C</w:t>
            </w:r>
            <w:r>
              <w:rPr>
                <w:rFonts w:eastAsia="宋体" w:cs="Times New Roman"/>
                <w:i/>
                <w:iCs/>
                <w:color w:val="000000"/>
                <w:kern w:val="0"/>
                <w:sz w:val="18"/>
                <w:szCs w:val="18"/>
                <w:vertAlign w:val="subscript"/>
              </w:rPr>
              <w:t>sur</w:t>
            </w:r>
            <w:r>
              <w:rPr>
                <w:rFonts w:eastAsia="宋体" w:cs="Times New Roman"/>
                <w:i/>
                <w:iCs/>
                <w:color w:val="000000"/>
                <w:kern w:val="0"/>
                <w:sz w:val="18"/>
                <w:szCs w:val="18"/>
              </w:rPr>
              <w:t xml:space="preserve"> </w:t>
            </w:r>
          </w:p>
        </w:tc>
        <w:tc>
          <w:tcPr>
            <w:tcW w:w="26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表层土壤中污染物浓度</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mg·kg</w:t>
            </w:r>
            <w:r>
              <w:rPr>
                <w:rFonts w:eastAsia="宋体" w:cs="Times New Roman"/>
                <w:color w:val="000000"/>
                <w:kern w:val="0"/>
                <w:sz w:val="18"/>
                <w:szCs w:val="18"/>
                <w:vertAlign w:val="superscript"/>
              </w:rPr>
              <w:t>-1</w:t>
            </w:r>
          </w:p>
        </w:tc>
        <w:tc>
          <w:tcPr>
            <w:tcW w:w="2869" w:type="dxa"/>
            <w:tcBorders>
              <w:top w:val="nil"/>
              <w:left w:val="nil"/>
              <w:bottom w:val="single" w:color="auto" w:sz="4" w:space="0"/>
              <w:right w:val="single" w:color="auto" w:sz="4" w:space="0"/>
            </w:tcBorders>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最大值</w:t>
            </w:r>
          </w:p>
        </w:tc>
      </w:tr>
      <w:tr>
        <w:tblPrEx>
          <w:tblCellMar>
            <w:top w:w="0" w:type="dxa"/>
            <w:left w:w="108" w:type="dxa"/>
            <w:bottom w:w="0" w:type="dxa"/>
            <w:right w:w="108" w:type="dxa"/>
          </w:tblCellMar>
        </w:tblPrEx>
        <w:trPr>
          <w:trHeight w:val="397" w:hRule="exact"/>
          <w:jc w:val="center"/>
        </w:trPr>
        <w:tc>
          <w:tcPr>
            <w:tcW w:w="1113" w:type="dxa"/>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i/>
                <w:iCs/>
                <w:color w:val="000000"/>
                <w:kern w:val="0"/>
                <w:sz w:val="18"/>
                <w:szCs w:val="18"/>
              </w:rPr>
            </w:pPr>
            <w:r>
              <w:rPr>
                <w:rFonts w:eastAsia="宋体" w:cs="Times New Roman"/>
                <w:i/>
                <w:iCs/>
                <w:color w:val="000000"/>
                <w:kern w:val="0"/>
                <w:sz w:val="18"/>
                <w:szCs w:val="18"/>
              </w:rPr>
              <w:t>C</w:t>
            </w:r>
            <w:r>
              <w:rPr>
                <w:rFonts w:eastAsia="宋体" w:cs="Times New Roman"/>
                <w:i/>
                <w:iCs/>
                <w:color w:val="000000"/>
                <w:kern w:val="0"/>
                <w:sz w:val="18"/>
                <w:szCs w:val="18"/>
                <w:vertAlign w:val="subscript"/>
              </w:rPr>
              <w:t>sub</w:t>
            </w:r>
            <w:r>
              <w:rPr>
                <w:rFonts w:eastAsia="宋体" w:cs="Times New Roman"/>
                <w:i/>
                <w:iCs/>
                <w:color w:val="000000"/>
                <w:kern w:val="0"/>
                <w:sz w:val="18"/>
                <w:szCs w:val="18"/>
              </w:rPr>
              <w:t xml:space="preserve"> </w:t>
            </w:r>
          </w:p>
        </w:tc>
        <w:tc>
          <w:tcPr>
            <w:tcW w:w="26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bookmarkStart w:id="101" w:name="RANGE!B3"/>
            <w:r>
              <w:rPr>
                <w:rFonts w:eastAsia="宋体" w:cs="Times New Roman"/>
                <w:color w:val="000000"/>
                <w:kern w:val="0"/>
                <w:sz w:val="18"/>
                <w:szCs w:val="18"/>
              </w:rPr>
              <w:t xml:space="preserve">下层土壤中污染物浓度 </w:t>
            </w:r>
            <w:bookmarkEnd w:id="101"/>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mg·kg</w:t>
            </w:r>
            <w:r>
              <w:rPr>
                <w:rFonts w:eastAsia="宋体" w:cs="Times New Roman"/>
                <w:color w:val="000000"/>
                <w:kern w:val="0"/>
                <w:sz w:val="18"/>
                <w:szCs w:val="18"/>
                <w:vertAlign w:val="superscript"/>
              </w:rPr>
              <w:t>-1</w:t>
            </w:r>
          </w:p>
        </w:tc>
        <w:tc>
          <w:tcPr>
            <w:tcW w:w="2869" w:type="dxa"/>
            <w:tcBorders>
              <w:top w:val="nil"/>
              <w:left w:val="nil"/>
              <w:bottom w:val="single" w:color="auto" w:sz="4" w:space="0"/>
              <w:right w:val="single" w:color="auto" w:sz="4" w:space="0"/>
            </w:tcBorders>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最大值</w:t>
            </w:r>
          </w:p>
        </w:tc>
      </w:tr>
      <w:tr>
        <w:tblPrEx>
          <w:tblCellMar>
            <w:top w:w="0" w:type="dxa"/>
            <w:left w:w="108" w:type="dxa"/>
            <w:bottom w:w="0" w:type="dxa"/>
            <w:right w:w="108" w:type="dxa"/>
          </w:tblCellMar>
        </w:tblPrEx>
        <w:trPr>
          <w:trHeight w:val="416" w:hRule="atLeast"/>
          <w:jc w:val="center"/>
        </w:trPr>
        <w:tc>
          <w:tcPr>
            <w:tcW w:w="1113" w:type="dxa"/>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i/>
                <w:iCs/>
                <w:color w:val="000000"/>
                <w:kern w:val="0"/>
                <w:sz w:val="18"/>
                <w:szCs w:val="18"/>
              </w:rPr>
            </w:pPr>
            <w:r>
              <w:rPr>
                <w:rFonts w:eastAsia="宋体" w:cs="Times New Roman"/>
                <w:i/>
                <w:iCs/>
                <w:color w:val="000000"/>
                <w:kern w:val="0"/>
                <w:sz w:val="18"/>
                <w:szCs w:val="18"/>
              </w:rPr>
              <w:t>d</w:t>
            </w:r>
          </w:p>
        </w:tc>
        <w:tc>
          <w:tcPr>
            <w:tcW w:w="26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 xml:space="preserve">表层污染土壤层厚度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cm</w:t>
            </w:r>
          </w:p>
        </w:tc>
        <w:tc>
          <w:tcPr>
            <w:tcW w:w="2869" w:type="dxa"/>
            <w:tcBorders>
              <w:top w:val="nil"/>
              <w:left w:val="nil"/>
              <w:bottom w:val="single" w:color="auto" w:sz="4" w:space="0"/>
              <w:right w:val="single" w:color="auto" w:sz="4" w:space="0"/>
            </w:tcBorders>
            <w:vAlign w:val="center"/>
          </w:tcPr>
          <w:p>
            <w:pPr>
              <w:widowControl/>
              <w:adjustRightInd w:val="0"/>
              <w:spacing w:line="360" w:lineRule="exact"/>
              <w:ind w:firstLine="0" w:firstLineChars="0"/>
              <w:jc w:val="center"/>
              <w:rPr>
                <w:rFonts w:eastAsia="宋体" w:cs="Times New Roman"/>
                <w:kern w:val="0"/>
                <w:sz w:val="18"/>
                <w:szCs w:val="18"/>
              </w:rPr>
            </w:pPr>
            <w:r>
              <w:rPr>
                <w:rFonts w:eastAsia="宋体" w:cs="Times New Roman"/>
                <w:kern w:val="0"/>
                <w:sz w:val="18"/>
                <w:szCs w:val="18"/>
              </w:rPr>
              <w:t>开发建设需开挖的污染土壤厚度，对于开挖计划不确定的，可结合地层岩性和污染分布确定</w:t>
            </w:r>
          </w:p>
        </w:tc>
      </w:tr>
      <w:tr>
        <w:tblPrEx>
          <w:tblCellMar>
            <w:top w:w="0" w:type="dxa"/>
            <w:left w:w="108" w:type="dxa"/>
            <w:bottom w:w="0" w:type="dxa"/>
            <w:right w:w="108" w:type="dxa"/>
          </w:tblCellMar>
        </w:tblPrEx>
        <w:trPr>
          <w:trHeight w:val="409" w:hRule="atLeast"/>
          <w:jc w:val="center"/>
        </w:trPr>
        <w:tc>
          <w:tcPr>
            <w:tcW w:w="1113" w:type="dxa"/>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i/>
                <w:iCs/>
                <w:color w:val="000000"/>
                <w:kern w:val="0"/>
                <w:sz w:val="18"/>
                <w:szCs w:val="18"/>
              </w:rPr>
            </w:pPr>
            <w:r>
              <w:rPr>
                <w:rFonts w:eastAsia="宋体" w:cs="Times New Roman"/>
                <w:i/>
                <w:iCs/>
                <w:color w:val="000000"/>
                <w:kern w:val="0"/>
                <w:sz w:val="18"/>
                <w:szCs w:val="18"/>
              </w:rPr>
              <w:t>L</w:t>
            </w:r>
            <w:r>
              <w:rPr>
                <w:rFonts w:eastAsia="宋体" w:cs="Times New Roman"/>
                <w:i/>
                <w:iCs/>
                <w:color w:val="000000"/>
                <w:kern w:val="0"/>
                <w:sz w:val="18"/>
                <w:szCs w:val="18"/>
                <w:vertAlign w:val="subscript"/>
              </w:rPr>
              <w:t>S</w:t>
            </w:r>
          </w:p>
        </w:tc>
        <w:tc>
          <w:tcPr>
            <w:tcW w:w="26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 xml:space="preserve">下层污染土壤层埋深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cm</w:t>
            </w:r>
          </w:p>
        </w:tc>
        <w:tc>
          <w:tcPr>
            <w:tcW w:w="2869" w:type="dxa"/>
            <w:tcBorders>
              <w:top w:val="nil"/>
              <w:left w:val="nil"/>
              <w:bottom w:val="single" w:color="auto" w:sz="4" w:space="0"/>
              <w:right w:val="single" w:color="auto" w:sz="4" w:space="0"/>
            </w:tcBorders>
            <w:vAlign w:val="center"/>
          </w:tcPr>
          <w:p>
            <w:pPr>
              <w:widowControl/>
              <w:adjustRightInd w:val="0"/>
              <w:spacing w:line="360" w:lineRule="exact"/>
              <w:ind w:firstLine="0" w:firstLineChars="0"/>
              <w:jc w:val="center"/>
              <w:rPr>
                <w:rFonts w:eastAsia="宋体" w:cs="Times New Roman"/>
                <w:kern w:val="0"/>
                <w:sz w:val="18"/>
                <w:szCs w:val="18"/>
              </w:rPr>
            </w:pPr>
            <w:r>
              <w:rPr>
                <w:rFonts w:eastAsia="宋体" w:cs="Times New Roman"/>
                <w:kern w:val="0"/>
                <w:sz w:val="18"/>
                <w:szCs w:val="18"/>
              </w:rPr>
              <w:t>下层不开挖污染土壤的顶板埋深</w:t>
            </w:r>
          </w:p>
        </w:tc>
      </w:tr>
      <w:tr>
        <w:tblPrEx>
          <w:tblCellMar>
            <w:top w:w="0" w:type="dxa"/>
            <w:left w:w="108" w:type="dxa"/>
            <w:bottom w:w="0" w:type="dxa"/>
            <w:right w:w="108" w:type="dxa"/>
          </w:tblCellMar>
        </w:tblPrEx>
        <w:trPr>
          <w:trHeight w:val="383" w:hRule="atLeast"/>
          <w:jc w:val="center"/>
        </w:trPr>
        <w:tc>
          <w:tcPr>
            <w:tcW w:w="1113" w:type="dxa"/>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i/>
                <w:iCs/>
                <w:color w:val="000000"/>
                <w:kern w:val="0"/>
                <w:sz w:val="18"/>
                <w:szCs w:val="18"/>
              </w:rPr>
            </w:pPr>
            <w:r>
              <w:rPr>
                <w:rFonts w:eastAsia="宋体" w:cs="Times New Roman"/>
                <w:i/>
                <w:iCs/>
                <w:color w:val="000000"/>
                <w:kern w:val="0"/>
                <w:sz w:val="18"/>
                <w:szCs w:val="18"/>
              </w:rPr>
              <w:t>d</w:t>
            </w:r>
            <w:r>
              <w:rPr>
                <w:rFonts w:eastAsia="宋体" w:cs="Times New Roman"/>
                <w:i/>
                <w:iCs/>
                <w:color w:val="000000"/>
                <w:kern w:val="0"/>
                <w:sz w:val="18"/>
                <w:szCs w:val="18"/>
                <w:vertAlign w:val="subscript"/>
              </w:rPr>
              <w:t>sub</w:t>
            </w:r>
          </w:p>
        </w:tc>
        <w:tc>
          <w:tcPr>
            <w:tcW w:w="26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下层污染土壤层厚度</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cm</w:t>
            </w:r>
          </w:p>
        </w:tc>
        <w:tc>
          <w:tcPr>
            <w:tcW w:w="2869" w:type="dxa"/>
            <w:tcBorders>
              <w:top w:val="nil"/>
              <w:left w:val="nil"/>
              <w:bottom w:val="single" w:color="auto" w:sz="4" w:space="0"/>
              <w:right w:val="single" w:color="auto" w:sz="4" w:space="0"/>
            </w:tcBorders>
            <w:vAlign w:val="center"/>
          </w:tcPr>
          <w:p>
            <w:pPr>
              <w:widowControl/>
              <w:adjustRightInd w:val="0"/>
              <w:spacing w:line="360" w:lineRule="exact"/>
              <w:ind w:firstLine="0" w:firstLineChars="0"/>
              <w:jc w:val="center"/>
              <w:rPr>
                <w:rFonts w:eastAsia="宋体" w:cs="Times New Roman"/>
                <w:kern w:val="0"/>
                <w:sz w:val="18"/>
                <w:szCs w:val="18"/>
              </w:rPr>
            </w:pPr>
            <w:r>
              <w:rPr>
                <w:rFonts w:eastAsia="宋体" w:cs="Times New Roman"/>
                <w:kern w:val="0"/>
                <w:sz w:val="18"/>
                <w:szCs w:val="18"/>
              </w:rPr>
              <w:t>下层不开挖污染土壤的厚度</w:t>
            </w:r>
          </w:p>
        </w:tc>
      </w:tr>
      <w:tr>
        <w:tblPrEx>
          <w:tblCellMar>
            <w:top w:w="0" w:type="dxa"/>
            <w:left w:w="108" w:type="dxa"/>
            <w:bottom w:w="0" w:type="dxa"/>
            <w:right w:w="108" w:type="dxa"/>
          </w:tblCellMar>
        </w:tblPrEx>
        <w:trPr>
          <w:trHeight w:val="397" w:hRule="exact"/>
          <w:jc w:val="center"/>
        </w:trPr>
        <w:tc>
          <w:tcPr>
            <w:tcW w:w="1113" w:type="dxa"/>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i/>
                <w:iCs/>
                <w:color w:val="000000"/>
                <w:kern w:val="0"/>
                <w:sz w:val="18"/>
                <w:szCs w:val="18"/>
              </w:rPr>
            </w:pPr>
            <w:r>
              <w:rPr>
                <w:rFonts w:eastAsia="宋体" w:cs="Times New Roman"/>
                <w:i/>
                <w:iCs/>
                <w:color w:val="000000"/>
                <w:kern w:val="0"/>
                <w:sz w:val="18"/>
                <w:szCs w:val="18"/>
              </w:rPr>
              <w:t>C</w:t>
            </w:r>
            <w:r>
              <w:rPr>
                <w:rFonts w:eastAsia="宋体" w:cs="Times New Roman"/>
                <w:i/>
                <w:iCs/>
                <w:color w:val="000000"/>
                <w:kern w:val="0"/>
                <w:sz w:val="18"/>
                <w:szCs w:val="18"/>
                <w:vertAlign w:val="subscript"/>
              </w:rPr>
              <w:t>gw</w:t>
            </w:r>
            <w:r>
              <w:rPr>
                <w:rFonts w:eastAsia="宋体" w:cs="Times New Roman"/>
                <w:i/>
                <w:iCs/>
                <w:color w:val="000000"/>
                <w:kern w:val="0"/>
                <w:sz w:val="18"/>
                <w:szCs w:val="18"/>
              </w:rPr>
              <w:t xml:space="preserve"> </w:t>
            </w:r>
          </w:p>
        </w:tc>
        <w:tc>
          <w:tcPr>
            <w:tcW w:w="26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 xml:space="preserve">地下水中污染物浓度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mg·L</w:t>
            </w:r>
            <w:r>
              <w:rPr>
                <w:rFonts w:eastAsia="宋体" w:cs="Times New Roman"/>
                <w:color w:val="000000"/>
                <w:kern w:val="0"/>
                <w:sz w:val="18"/>
                <w:szCs w:val="18"/>
                <w:vertAlign w:val="superscript"/>
              </w:rPr>
              <w:t>-1</w:t>
            </w:r>
          </w:p>
        </w:tc>
        <w:tc>
          <w:tcPr>
            <w:tcW w:w="2869" w:type="dxa"/>
            <w:tcBorders>
              <w:top w:val="nil"/>
              <w:left w:val="nil"/>
              <w:bottom w:val="single" w:color="auto" w:sz="4" w:space="0"/>
              <w:right w:val="single" w:color="auto" w:sz="4" w:space="0"/>
            </w:tcBorders>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最大值</w:t>
            </w:r>
          </w:p>
        </w:tc>
      </w:tr>
      <w:tr>
        <w:tblPrEx>
          <w:tblCellMar>
            <w:top w:w="0" w:type="dxa"/>
            <w:left w:w="108" w:type="dxa"/>
            <w:bottom w:w="0" w:type="dxa"/>
            <w:right w:w="108" w:type="dxa"/>
          </w:tblCellMar>
        </w:tblPrEx>
        <w:trPr>
          <w:trHeight w:val="397" w:hRule="exact"/>
          <w:jc w:val="center"/>
        </w:trPr>
        <w:tc>
          <w:tcPr>
            <w:tcW w:w="1113" w:type="dxa"/>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i/>
                <w:iCs/>
                <w:color w:val="000000"/>
                <w:kern w:val="0"/>
                <w:sz w:val="18"/>
                <w:szCs w:val="18"/>
              </w:rPr>
            </w:pPr>
            <w:r>
              <w:rPr>
                <w:rFonts w:eastAsia="宋体" w:cs="Times New Roman"/>
                <w:i/>
                <w:iCs/>
                <w:color w:val="000000"/>
                <w:kern w:val="0"/>
                <w:sz w:val="18"/>
                <w:szCs w:val="18"/>
              </w:rPr>
              <w:t>L</w:t>
            </w:r>
            <w:r>
              <w:rPr>
                <w:rFonts w:eastAsia="宋体" w:cs="Times New Roman"/>
                <w:i/>
                <w:iCs/>
                <w:color w:val="000000"/>
                <w:kern w:val="0"/>
                <w:sz w:val="18"/>
                <w:szCs w:val="18"/>
                <w:vertAlign w:val="subscript"/>
              </w:rPr>
              <w:t>gw</w:t>
            </w:r>
            <w:r>
              <w:rPr>
                <w:rFonts w:eastAsia="宋体" w:cs="Times New Roman"/>
                <w:i/>
                <w:iCs/>
                <w:color w:val="000000"/>
                <w:kern w:val="0"/>
                <w:sz w:val="18"/>
                <w:szCs w:val="18"/>
              </w:rPr>
              <w:t xml:space="preserve"> </w:t>
            </w:r>
          </w:p>
        </w:tc>
        <w:tc>
          <w:tcPr>
            <w:tcW w:w="26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 xml:space="preserve">地下水埋深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cm</w:t>
            </w:r>
          </w:p>
        </w:tc>
        <w:tc>
          <w:tcPr>
            <w:tcW w:w="2869" w:type="dxa"/>
            <w:tcBorders>
              <w:top w:val="nil"/>
              <w:left w:val="nil"/>
              <w:bottom w:val="single" w:color="auto" w:sz="4" w:space="0"/>
              <w:right w:val="single" w:color="auto" w:sz="4" w:space="0"/>
            </w:tcBorders>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平均值</w:t>
            </w:r>
          </w:p>
        </w:tc>
      </w:tr>
      <w:tr>
        <w:tblPrEx>
          <w:tblCellMar>
            <w:top w:w="0" w:type="dxa"/>
            <w:left w:w="108" w:type="dxa"/>
            <w:bottom w:w="0" w:type="dxa"/>
            <w:right w:w="108" w:type="dxa"/>
          </w:tblCellMar>
        </w:tblPrEx>
        <w:trPr>
          <w:trHeight w:val="397" w:hRule="exact"/>
          <w:jc w:val="center"/>
        </w:trPr>
        <w:tc>
          <w:tcPr>
            <w:tcW w:w="1113" w:type="dxa"/>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i/>
                <w:iCs/>
                <w:color w:val="000000"/>
                <w:kern w:val="0"/>
                <w:sz w:val="18"/>
                <w:szCs w:val="18"/>
              </w:rPr>
            </w:pPr>
            <w:r>
              <w:rPr>
                <w:rFonts w:eastAsia="宋体" w:cs="Times New Roman"/>
                <w:i/>
                <w:iCs/>
                <w:color w:val="000000"/>
                <w:kern w:val="0"/>
                <w:sz w:val="18"/>
                <w:szCs w:val="18"/>
              </w:rPr>
              <w:t>h</w:t>
            </w:r>
            <w:r>
              <w:rPr>
                <w:rFonts w:eastAsia="宋体" w:cs="Times New Roman"/>
                <w:i/>
                <w:iCs/>
                <w:color w:val="000000"/>
                <w:kern w:val="0"/>
                <w:sz w:val="18"/>
                <w:szCs w:val="18"/>
                <w:vertAlign w:val="subscript"/>
              </w:rPr>
              <w:t>v</w:t>
            </w:r>
            <w:r>
              <w:rPr>
                <w:rFonts w:eastAsia="宋体" w:cs="Times New Roman"/>
                <w:i/>
                <w:iCs/>
                <w:color w:val="000000"/>
                <w:kern w:val="0"/>
                <w:sz w:val="18"/>
                <w:szCs w:val="18"/>
              </w:rPr>
              <w:t xml:space="preserve"> </w:t>
            </w:r>
          </w:p>
        </w:tc>
        <w:tc>
          <w:tcPr>
            <w:tcW w:w="26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kern w:val="0"/>
                <w:sz w:val="18"/>
                <w:szCs w:val="18"/>
              </w:rPr>
              <w:t xml:space="preserve">非饱和土层厚度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cm</w:t>
            </w:r>
          </w:p>
        </w:tc>
        <w:tc>
          <w:tcPr>
            <w:tcW w:w="2869" w:type="dxa"/>
            <w:tcBorders>
              <w:top w:val="nil"/>
              <w:left w:val="nil"/>
              <w:bottom w:val="single" w:color="auto" w:sz="4" w:space="0"/>
              <w:right w:val="single" w:color="auto" w:sz="4" w:space="0"/>
            </w:tcBorders>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平均值</w:t>
            </w:r>
          </w:p>
        </w:tc>
      </w:tr>
      <w:tr>
        <w:tblPrEx>
          <w:tblCellMar>
            <w:top w:w="0" w:type="dxa"/>
            <w:left w:w="108" w:type="dxa"/>
            <w:bottom w:w="0" w:type="dxa"/>
            <w:right w:w="108" w:type="dxa"/>
          </w:tblCellMar>
        </w:tblPrEx>
        <w:trPr>
          <w:trHeight w:val="397" w:hRule="exact"/>
          <w:jc w:val="center"/>
        </w:trPr>
        <w:tc>
          <w:tcPr>
            <w:tcW w:w="1113" w:type="dxa"/>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i/>
                <w:iCs/>
                <w:color w:val="000000"/>
                <w:kern w:val="0"/>
                <w:sz w:val="18"/>
                <w:szCs w:val="18"/>
              </w:rPr>
            </w:pPr>
            <w:r>
              <w:rPr>
                <w:rFonts w:eastAsia="宋体" w:cs="Times New Roman"/>
                <w:i/>
                <w:iCs/>
                <w:color w:val="000000"/>
                <w:kern w:val="0"/>
                <w:sz w:val="18"/>
                <w:szCs w:val="18"/>
              </w:rPr>
              <w:t>f</w:t>
            </w:r>
            <w:r>
              <w:rPr>
                <w:rFonts w:eastAsia="宋体" w:cs="Times New Roman"/>
                <w:i/>
                <w:iCs/>
                <w:color w:val="000000"/>
                <w:kern w:val="0"/>
                <w:sz w:val="18"/>
                <w:szCs w:val="18"/>
                <w:vertAlign w:val="subscript"/>
              </w:rPr>
              <w:t>om</w:t>
            </w:r>
            <w:r>
              <w:rPr>
                <w:rFonts w:eastAsia="宋体" w:cs="Times New Roman"/>
                <w:i/>
                <w:iCs/>
                <w:color w:val="000000"/>
                <w:kern w:val="0"/>
                <w:sz w:val="18"/>
                <w:szCs w:val="18"/>
              </w:rPr>
              <w:t xml:space="preserve"> </w:t>
            </w:r>
          </w:p>
        </w:tc>
        <w:tc>
          <w:tcPr>
            <w:tcW w:w="26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 xml:space="preserve">土壤有机质含量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g·kg</w:t>
            </w:r>
            <w:r>
              <w:rPr>
                <w:rFonts w:eastAsia="宋体" w:cs="Times New Roman"/>
                <w:color w:val="000000"/>
                <w:kern w:val="0"/>
                <w:sz w:val="18"/>
                <w:szCs w:val="18"/>
                <w:vertAlign w:val="superscript"/>
              </w:rPr>
              <w:t>-1</w:t>
            </w:r>
          </w:p>
        </w:tc>
        <w:tc>
          <w:tcPr>
            <w:tcW w:w="2869" w:type="dxa"/>
            <w:tcBorders>
              <w:top w:val="nil"/>
              <w:left w:val="nil"/>
              <w:bottom w:val="single" w:color="auto" w:sz="4" w:space="0"/>
              <w:right w:val="single" w:color="auto" w:sz="4" w:space="0"/>
            </w:tcBorders>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平均值</w:t>
            </w:r>
          </w:p>
        </w:tc>
      </w:tr>
      <w:tr>
        <w:tblPrEx>
          <w:tblCellMar>
            <w:top w:w="0" w:type="dxa"/>
            <w:left w:w="108" w:type="dxa"/>
            <w:bottom w:w="0" w:type="dxa"/>
            <w:right w:w="108" w:type="dxa"/>
          </w:tblCellMar>
        </w:tblPrEx>
        <w:trPr>
          <w:trHeight w:val="397" w:hRule="exact"/>
          <w:jc w:val="center"/>
        </w:trPr>
        <w:tc>
          <w:tcPr>
            <w:tcW w:w="1113" w:type="dxa"/>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i/>
                <w:iCs/>
                <w:color w:val="000000"/>
                <w:kern w:val="0"/>
                <w:sz w:val="18"/>
                <w:szCs w:val="18"/>
              </w:rPr>
            </w:pPr>
            <w:r>
              <w:rPr>
                <w:rFonts w:eastAsia="宋体" w:cs="Times New Roman"/>
                <w:i/>
                <w:iCs/>
                <w:color w:val="000000"/>
                <w:kern w:val="0"/>
                <w:sz w:val="18"/>
                <w:szCs w:val="18"/>
              </w:rPr>
              <w:t>ρ</w:t>
            </w:r>
            <w:r>
              <w:rPr>
                <w:rFonts w:eastAsia="宋体" w:cs="Times New Roman"/>
                <w:i/>
                <w:iCs/>
                <w:color w:val="000000"/>
                <w:kern w:val="0"/>
                <w:sz w:val="18"/>
                <w:szCs w:val="18"/>
                <w:vertAlign w:val="subscript"/>
              </w:rPr>
              <w:t>b</w:t>
            </w:r>
          </w:p>
        </w:tc>
        <w:tc>
          <w:tcPr>
            <w:tcW w:w="26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 xml:space="preserve">土壤容重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kg·dm</w:t>
            </w:r>
            <w:r>
              <w:rPr>
                <w:rFonts w:eastAsia="宋体" w:cs="Times New Roman"/>
                <w:color w:val="000000"/>
                <w:kern w:val="0"/>
                <w:sz w:val="18"/>
                <w:szCs w:val="18"/>
                <w:vertAlign w:val="superscript"/>
              </w:rPr>
              <w:t>-3</w:t>
            </w:r>
          </w:p>
        </w:tc>
        <w:tc>
          <w:tcPr>
            <w:tcW w:w="2869" w:type="dxa"/>
            <w:tcBorders>
              <w:top w:val="nil"/>
              <w:left w:val="nil"/>
              <w:bottom w:val="single" w:color="auto" w:sz="4" w:space="0"/>
              <w:right w:val="single" w:color="auto" w:sz="4" w:space="0"/>
            </w:tcBorders>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平均值</w:t>
            </w:r>
          </w:p>
        </w:tc>
      </w:tr>
      <w:tr>
        <w:tblPrEx>
          <w:tblCellMar>
            <w:top w:w="0" w:type="dxa"/>
            <w:left w:w="108" w:type="dxa"/>
            <w:bottom w:w="0" w:type="dxa"/>
            <w:right w:w="108" w:type="dxa"/>
          </w:tblCellMar>
        </w:tblPrEx>
        <w:trPr>
          <w:trHeight w:val="397" w:hRule="exact"/>
          <w:jc w:val="center"/>
        </w:trPr>
        <w:tc>
          <w:tcPr>
            <w:tcW w:w="1113" w:type="dxa"/>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i/>
                <w:iCs/>
                <w:color w:val="000000"/>
                <w:kern w:val="0"/>
                <w:sz w:val="18"/>
                <w:szCs w:val="18"/>
              </w:rPr>
            </w:pPr>
            <w:r>
              <w:rPr>
                <w:rFonts w:eastAsia="宋体" w:cs="Times New Roman"/>
                <w:i/>
                <w:iCs/>
                <w:color w:val="000000"/>
                <w:kern w:val="0"/>
                <w:sz w:val="18"/>
                <w:szCs w:val="18"/>
              </w:rPr>
              <w:t>P</w:t>
            </w:r>
            <w:r>
              <w:rPr>
                <w:rFonts w:eastAsia="宋体" w:cs="Times New Roman"/>
                <w:i/>
                <w:iCs/>
                <w:color w:val="000000"/>
                <w:kern w:val="0"/>
                <w:sz w:val="18"/>
                <w:szCs w:val="18"/>
                <w:vertAlign w:val="subscript"/>
              </w:rPr>
              <w:t>ws</w:t>
            </w:r>
          </w:p>
        </w:tc>
        <w:tc>
          <w:tcPr>
            <w:tcW w:w="26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 xml:space="preserve">土壤含水率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kg·kg</w:t>
            </w:r>
            <w:r>
              <w:rPr>
                <w:rFonts w:eastAsia="宋体" w:cs="Times New Roman"/>
                <w:color w:val="000000"/>
                <w:kern w:val="0"/>
                <w:sz w:val="18"/>
                <w:szCs w:val="18"/>
                <w:vertAlign w:val="superscript"/>
              </w:rPr>
              <w:t>-1</w:t>
            </w:r>
          </w:p>
        </w:tc>
        <w:tc>
          <w:tcPr>
            <w:tcW w:w="2869" w:type="dxa"/>
            <w:tcBorders>
              <w:top w:val="nil"/>
              <w:left w:val="nil"/>
              <w:bottom w:val="single" w:color="auto" w:sz="4" w:space="0"/>
              <w:right w:val="single" w:color="auto" w:sz="4" w:space="0"/>
            </w:tcBorders>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平均值</w:t>
            </w:r>
          </w:p>
        </w:tc>
      </w:tr>
      <w:tr>
        <w:tblPrEx>
          <w:tblCellMar>
            <w:top w:w="0" w:type="dxa"/>
            <w:left w:w="108" w:type="dxa"/>
            <w:bottom w:w="0" w:type="dxa"/>
            <w:right w:w="108" w:type="dxa"/>
          </w:tblCellMar>
        </w:tblPrEx>
        <w:trPr>
          <w:trHeight w:val="397" w:hRule="exact"/>
          <w:jc w:val="center"/>
        </w:trPr>
        <w:tc>
          <w:tcPr>
            <w:tcW w:w="1113" w:type="dxa"/>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i/>
                <w:iCs/>
                <w:color w:val="000000"/>
                <w:kern w:val="0"/>
                <w:sz w:val="18"/>
                <w:szCs w:val="18"/>
              </w:rPr>
            </w:pPr>
            <w:r>
              <w:rPr>
                <w:rFonts w:eastAsia="宋体" w:cs="Times New Roman"/>
                <w:i/>
                <w:iCs/>
                <w:color w:val="000000"/>
                <w:kern w:val="0"/>
                <w:sz w:val="18"/>
                <w:szCs w:val="18"/>
              </w:rPr>
              <w:t>ρ</w:t>
            </w:r>
            <w:r>
              <w:rPr>
                <w:rFonts w:eastAsia="宋体" w:cs="Times New Roman"/>
                <w:i/>
                <w:iCs/>
                <w:color w:val="000000"/>
                <w:kern w:val="0"/>
                <w:sz w:val="18"/>
                <w:szCs w:val="18"/>
                <w:vertAlign w:val="subscript"/>
              </w:rPr>
              <w:t>s</w:t>
            </w:r>
          </w:p>
        </w:tc>
        <w:tc>
          <w:tcPr>
            <w:tcW w:w="26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 xml:space="preserve">土壤颗粒密度 </w:t>
            </w:r>
          </w:p>
        </w:tc>
        <w:tc>
          <w:tcPr>
            <w:tcW w:w="1134"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kg·dm</w:t>
            </w:r>
            <w:r>
              <w:rPr>
                <w:rFonts w:eastAsia="宋体" w:cs="Times New Roman"/>
                <w:color w:val="000000"/>
                <w:kern w:val="0"/>
                <w:sz w:val="18"/>
                <w:szCs w:val="18"/>
                <w:vertAlign w:val="superscript"/>
              </w:rPr>
              <w:t>-3</w:t>
            </w:r>
          </w:p>
        </w:tc>
        <w:tc>
          <w:tcPr>
            <w:tcW w:w="2869" w:type="dxa"/>
            <w:tcBorders>
              <w:top w:val="nil"/>
              <w:left w:val="nil"/>
              <w:bottom w:val="single" w:color="auto" w:sz="4" w:space="0"/>
              <w:right w:val="single" w:color="auto" w:sz="4" w:space="0"/>
            </w:tcBorders>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平均值</w:t>
            </w:r>
          </w:p>
        </w:tc>
      </w:tr>
      <w:tr>
        <w:tblPrEx>
          <w:tblCellMar>
            <w:top w:w="0" w:type="dxa"/>
            <w:left w:w="108" w:type="dxa"/>
            <w:bottom w:w="0" w:type="dxa"/>
            <w:right w:w="108" w:type="dxa"/>
          </w:tblCellMar>
        </w:tblPrEx>
        <w:trPr>
          <w:trHeight w:val="900" w:hRule="exact"/>
          <w:jc w:val="center"/>
        </w:trPr>
        <w:tc>
          <w:tcPr>
            <w:tcW w:w="11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i/>
                <w:iCs/>
                <w:color w:val="000000"/>
                <w:kern w:val="0"/>
                <w:sz w:val="18"/>
                <w:szCs w:val="18"/>
              </w:rPr>
            </w:pPr>
            <w:r>
              <w:rPr>
                <w:rFonts w:eastAsia="宋体" w:cs="Times New Roman"/>
                <w:i/>
                <w:iCs/>
                <w:color w:val="000000"/>
                <w:kern w:val="0"/>
                <w:sz w:val="18"/>
                <w:szCs w:val="18"/>
              </w:rPr>
              <w:t>A</w:t>
            </w:r>
          </w:p>
        </w:tc>
        <w:tc>
          <w:tcPr>
            <w:tcW w:w="2655"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污染源区面积</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cm</w:t>
            </w:r>
            <w:r>
              <w:rPr>
                <w:rFonts w:eastAsia="宋体" w:cs="Times New Roman"/>
                <w:color w:val="000000"/>
                <w:kern w:val="0"/>
                <w:sz w:val="18"/>
                <w:szCs w:val="18"/>
                <w:vertAlign w:val="superscript"/>
              </w:rPr>
              <w:t>2</w:t>
            </w:r>
          </w:p>
        </w:tc>
        <w:tc>
          <w:tcPr>
            <w:tcW w:w="2869" w:type="dxa"/>
            <w:tcBorders>
              <w:top w:val="single" w:color="auto" w:sz="4" w:space="0"/>
              <w:left w:val="nil"/>
              <w:bottom w:val="single" w:color="auto" w:sz="4" w:space="0"/>
              <w:right w:val="single" w:color="auto" w:sz="4" w:space="0"/>
            </w:tcBorders>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地块污染物超筛选值区域面积总和</w:t>
            </w:r>
          </w:p>
        </w:tc>
      </w:tr>
      <w:tr>
        <w:tblPrEx>
          <w:tblCellMar>
            <w:top w:w="0" w:type="dxa"/>
            <w:left w:w="108" w:type="dxa"/>
            <w:bottom w:w="0" w:type="dxa"/>
            <w:right w:w="108" w:type="dxa"/>
          </w:tblCellMar>
        </w:tblPrEx>
        <w:trPr>
          <w:trHeight w:val="984" w:hRule="exact"/>
          <w:jc w:val="center"/>
        </w:trPr>
        <w:tc>
          <w:tcPr>
            <w:tcW w:w="11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i/>
                <w:iCs/>
                <w:color w:val="000000"/>
                <w:kern w:val="0"/>
                <w:sz w:val="18"/>
                <w:szCs w:val="18"/>
              </w:rPr>
            </w:pPr>
            <w:r>
              <w:rPr>
                <w:rFonts w:eastAsia="宋体" w:cs="Times New Roman"/>
                <w:i/>
                <w:iCs/>
                <w:color w:val="000000"/>
                <w:kern w:val="0"/>
                <w:sz w:val="18"/>
                <w:szCs w:val="18"/>
              </w:rPr>
              <w:t>W</w:t>
            </w:r>
          </w:p>
        </w:tc>
        <w:tc>
          <w:tcPr>
            <w:tcW w:w="2655"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污染源区宽度</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cm</w:t>
            </w:r>
          </w:p>
        </w:tc>
        <w:tc>
          <w:tcPr>
            <w:tcW w:w="2869" w:type="dxa"/>
            <w:tcBorders>
              <w:top w:val="single" w:color="auto" w:sz="4" w:space="0"/>
              <w:left w:val="nil"/>
              <w:bottom w:val="single" w:color="auto" w:sz="4" w:space="0"/>
              <w:right w:val="single" w:color="auto" w:sz="4" w:space="0"/>
            </w:tcBorders>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地块污染物超筛选值区域与风向垂向交界面长度</w:t>
            </w:r>
          </w:p>
        </w:tc>
      </w:tr>
    </w:tbl>
    <w:p>
      <w:pPr>
        <w:pStyle w:val="6"/>
        <w:widowControl/>
        <w:spacing w:before="0" w:after="0" w:line="360" w:lineRule="exact"/>
        <w:ind w:firstLine="403" w:firstLineChars="0"/>
        <w:jc w:val="left"/>
        <w:textAlignment w:val="baseline"/>
        <w:rPr>
          <w:rStyle w:val="63"/>
          <w:rFonts w:ascii="Times New Roman" w:hAnsi="Times New Roman" w:eastAsia="宋体" w:cs="Times New Roman"/>
          <w:sz w:val="18"/>
          <w:szCs w:val="18"/>
        </w:rPr>
      </w:pPr>
      <w:r>
        <w:rPr>
          <w:rStyle w:val="63"/>
          <w:rFonts w:ascii="Times New Roman" w:hAnsi="Times New Roman" w:eastAsia="宋体" w:cs="Times New Roman"/>
          <w:sz w:val="18"/>
          <w:szCs w:val="18"/>
        </w:rPr>
        <w:t>*注：（1）表层土壤：主要指地块中与人体直接接触暴露（经口摄入土壤、皮肤接触土壤和吸入土壤颗粒物）相关的土壤，包括地表的填土，但不包括地表的硬化层。</w:t>
      </w:r>
    </w:p>
    <w:p>
      <w:pPr>
        <w:pStyle w:val="6"/>
        <w:widowControl/>
        <w:spacing w:before="0" w:after="0" w:line="360" w:lineRule="exact"/>
        <w:ind w:firstLine="403" w:firstLineChars="0"/>
        <w:jc w:val="left"/>
        <w:textAlignment w:val="baseline"/>
        <w:rPr>
          <w:rStyle w:val="63"/>
          <w:rFonts w:ascii="Times New Roman" w:hAnsi="Times New Roman" w:eastAsia="宋体" w:cs="Times New Roman"/>
          <w:sz w:val="18"/>
          <w:szCs w:val="18"/>
        </w:rPr>
      </w:pPr>
      <w:r>
        <w:rPr>
          <w:rStyle w:val="63"/>
          <w:rFonts w:ascii="Times New Roman" w:hAnsi="Times New Roman" w:eastAsia="宋体" w:cs="Times New Roman"/>
          <w:sz w:val="18"/>
          <w:szCs w:val="18"/>
        </w:rPr>
        <w:t>（2）下层土壤：表层土壤以下一定深度范围内的土壤，主要指地块中表层土壤以下可能受到污染物迁移扩散影响的土壤。</w:t>
      </w:r>
    </w:p>
    <w:p>
      <w:pPr>
        <w:pStyle w:val="6"/>
        <w:widowControl/>
        <w:spacing w:before="0" w:after="0" w:line="360" w:lineRule="exact"/>
        <w:ind w:firstLine="403" w:firstLineChars="0"/>
        <w:jc w:val="left"/>
        <w:textAlignment w:val="baseline"/>
        <w:rPr>
          <w:rStyle w:val="63"/>
          <w:rFonts w:ascii="Times New Roman" w:hAnsi="Times New Roman" w:eastAsia="宋体" w:cs="Times New Roman"/>
          <w:sz w:val="18"/>
          <w:szCs w:val="18"/>
        </w:rPr>
      </w:pPr>
      <w:r>
        <w:rPr>
          <w:rStyle w:val="63"/>
          <w:rFonts w:ascii="Times New Roman" w:hAnsi="Times New Roman" w:eastAsia="宋体" w:cs="Times New Roman"/>
          <w:sz w:val="18"/>
          <w:szCs w:val="18"/>
        </w:rPr>
        <w:t>（3）表层污染土壤层厚度、下层污染土壤层埋深和下层污染土壤层厚度的示意如下图：</w:t>
      </w:r>
    </w:p>
    <w:p>
      <w:pPr>
        <w:adjustRightInd w:val="0"/>
        <w:ind w:firstLine="232" w:firstLineChars="83"/>
        <w:jc w:val="center"/>
        <w:rPr>
          <w:rFonts w:cs="Times New Roman"/>
          <w:b/>
          <w:bCs/>
          <w:color w:val="000000"/>
          <w:kern w:val="0"/>
          <w:sz w:val="21"/>
          <w:szCs w:val="21"/>
        </w:rPr>
      </w:pPr>
      <w:r>
        <w:rPr>
          <w:rFonts w:cs="Times New Roman"/>
        </w:rPr>
        <w:drawing>
          <wp:inline distT="0" distB="0" distL="0" distR="0">
            <wp:extent cx="4419600" cy="27946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438207" cy="2806703"/>
                    </a:xfrm>
                    <a:prstGeom prst="rect">
                      <a:avLst/>
                    </a:prstGeom>
                    <a:noFill/>
                    <a:ln>
                      <a:noFill/>
                    </a:ln>
                  </pic:spPr>
                </pic:pic>
              </a:graphicData>
            </a:graphic>
          </wp:inline>
        </w:drawing>
      </w:r>
    </w:p>
    <w:p>
      <w:pPr>
        <w:pStyle w:val="66"/>
        <w:numPr>
          <w:ilvl w:val="2"/>
          <w:numId w:val="8"/>
        </w:numPr>
        <w:spacing w:before="217" w:beforeLines="50" w:after="217" w:afterLines="50" w:line="360" w:lineRule="exact"/>
        <w:textAlignment w:val="auto"/>
        <w:rPr>
          <w:rStyle w:val="63"/>
          <w:rFonts w:ascii="Times New Roman"/>
        </w:rPr>
      </w:pPr>
      <w:r>
        <w:rPr>
          <w:rStyle w:val="63"/>
          <w:rFonts w:ascii="Times New Roman"/>
        </w:rPr>
        <w:t xml:space="preserve">人体暴露特征参数  </w:t>
      </w:r>
    </w:p>
    <w:p>
      <w:pPr>
        <w:pStyle w:val="62"/>
        <w:tabs>
          <w:tab w:val="center" w:pos="4201"/>
          <w:tab w:val="right" w:leader="dot" w:pos="9298"/>
        </w:tabs>
        <w:spacing w:line="360" w:lineRule="exact"/>
        <w:rPr>
          <w:rStyle w:val="63"/>
          <w:rFonts w:ascii="Times New Roman"/>
          <w:lang w:val="en"/>
        </w:rPr>
      </w:pPr>
      <w:r>
        <w:rPr>
          <w:rStyle w:val="63"/>
          <w:rFonts w:ascii="Times New Roman"/>
          <w:lang w:val="en"/>
        </w:rPr>
        <w:t>原则上采用《建设用地土壤污染风险评估技术导则》</w:t>
      </w:r>
      <w:r>
        <w:rPr>
          <w:rStyle w:val="63"/>
          <w:rFonts w:ascii="Times New Roman"/>
        </w:rPr>
        <w:t>（HJ25.3）</w:t>
      </w:r>
      <w:r>
        <w:rPr>
          <w:rStyle w:val="63"/>
          <w:rFonts w:ascii="Times New Roman"/>
          <w:lang w:val="en"/>
        </w:rPr>
        <w:t>规定的参数推荐值；确需调整的，应参照国家或地方权威部门发布的数据，并明确说明数据来源及选择依据。</w:t>
      </w:r>
    </w:p>
    <w:p>
      <w:pPr>
        <w:pStyle w:val="3"/>
        <w:numPr>
          <w:ilvl w:val="1"/>
          <w:numId w:val="8"/>
        </w:numPr>
        <w:spacing w:before="120" w:after="120" w:line="360" w:lineRule="exact"/>
        <w:rPr>
          <w:rFonts w:cs="Times New Roman"/>
        </w:rPr>
      </w:pPr>
      <w:bookmarkStart w:id="102" w:name="_Toc2825"/>
      <w:bookmarkStart w:id="103" w:name="_Toc26412"/>
      <w:r>
        <w:rPr>
          <w:rFonts w:cs="Times New Roman"/>
        </w:rPr>
        <w:t>暴露量</w:t>
      </w:r>
      <w:bookmarkEnd w:id="102"/>
      <w:bookmarkEnd w:id="103"/>
    </w:p>
    <w:p>
      <w:pPr>
        <w:pStyle w:val="62"/>
        <w:tabs>
          <w:tab w:val="center" w:pos="4201"/>
          <w:tab w:val="right" w:leader="dot" w:pos="9298"/>
        </w:tabs>
        <w:spacing w:line="360" w:lineRule="exact"/>
        <w:rPr>
          <w:rStyle w:val="63"/>
          <w:rFonts w:ascii="Times New Roman"/>
        </w:rPr>
      </w:pPr>
      <w:r>
        <w:rPr>
          <w:rStyle w:val="63"/>
          <w:rFonts w:ascii="Times New Roman"/>
        </w:rPr>
        <w:t>参照《建设用地土壤污染风险评估技术导则》（HJ25.3）和《地下水污染健康风险评估工作指南》计算敏感人群对土壤和地下水中污染物的暴露量，并详细说明暴露量的计算过程和参数取值及来源。</w:t>
      </w:r>
    </w:p>
    <w:p>
      <w:pPr>
        <w:pStyle w:val="3"/>
        <w:numPr>
          <w:ilvl w:val="0"/>
          <w:numId w:val="8"/>
        </w:numPr>
        <w:spacing w:before="240" w:after="240" w:line="360" w:lineRule="exact"/>
        <w:rPr>
          <w:rFonts w:cs="Times New Roman"/>
        </w:rPr>
      </w:pPr>
      <w:bookmarkStart w:id="104" w:name="_Toc18170"/>
      <w:bookmarkStart w:id="105" w:name="_Toc13999"/>
      <w:r>
        <w:rPr>
          <w:rFonts w:cs="Times New Roman"/>
        </w:rPr>
        <w:t>毒性评估</w:t>
      </w:r>
      <w:bookmarkEnd w:id="104"/>
      <w:bookmarkEnd w:id="105"/>
    </w:p>
    <w:p>
      <w:pPr>
        <w:pStyle w:val="62"/>
        <w:tabs>
          <w:tab w:val="center" w:pos="4201"/>
          <w:tab w:val="right" w:leader="dot" w:pos="9298"/>
        </w:tabs>
        <w:spacing w:line="360" w:lineRule="exact"/>
        <w:rPr>
          <w:rStyle w:val="63"/>
          <w:rFonts w:ascii="Times New Roman"/>
        </w:rPr>
      </w:pPr>
      <w:r>
        <w:rPr>
          <w:rStyle w:val="63"/>
          <w:rFonts w:ascii="Times New Roman"/>
        </w:rPr>
        <w:t>关注污染物的毒性参数和理化性质参数值应参考《建设用地土壤污染风险评估技术导则》（HJ 25.3）。HJ 25.3未规定的，可参考国内地方风险评估技术导则推荐的参数值；HJ 25.3和地方风险评估技术导则均未规定的，可引用国际权威机构发布的具有较高认可度的参数值，并说明数据来源及选择依据。</w:t>
      </w:r>
    </w:p>
    <w:p>
      <w:pPr>
        <w:pStyle w:val="62"/>
        <w:tabs>
          <w:tab w:val="center" w:pos="4201"/>
          <w:tab w:val="right" w:leader="dot" w:pos="9298"/>
        </w:tabs>
        <w:spacing w:line="360" w:lineRule="exact"/>
        <w:rPr>
          <w:rStyle w:val="63"/>
          <w:rFonts w:ascii="Times New Roman"/>
        </w:rPr>
      </w:pPr>
      <w:bookmarkStart w:id="106" w:name="_Hlk37079152"/>
      <w:r>
        <w:rPr>
          <w:rStyle w:val="63"/>
          <w:rFonts w:ascii="Times New Roman"/>
        </w:rPr>
        <w:t>石油烃（C10-C40）</w:t>
      </w:r>
      <w:bookmarkStart w:id="107" w:name="_Hlk39520556"/>
      <w:r>
        <w:rPr>
          <w:rStyle w:val="63"/>
          <w:rFonts w:ascii="Times New Roman"/>
        </w:rPr>
        <w:t>采取相对毒性较高的芳香类（C10-C16）段的毒性参数代表石油烃（C10-C40）进行风险评估</w:t>
      </w:r>
      <w:bookmarkEnd w:id="107"/>
      <w:bookmarkStart w:id="108" w:name="_Hlk39520533"/>
      <w:r>
        <w:rPr>
          <w:rStyle w:val="63"/>
          <w:rFonts w:ascii="Times New Roman"/>
        </w:rPr>
        <w:t>。</w:t>
      </w:r>
    </w:p>
    <w:p>
      <w:pPr>
        <w:pStyle w:val="62"/>
        <w:tabs>
          <w:tab w:val="center" w:pos="4201"/>
          <w:tab w:val="right" w:leader="dot" w:pos="9298"/>
        </w:tabs>
        <w:spacing w:line="360" w:lineRule="exact"/>
        <w:rPr>
          <w:rStyle w:val="63"/>
          <w:rFonts w:ascii="Times New Roman"/>
        </w:rPr>
      </w:pPr>
      <w:r>
        <w:rPr>
          <w:rStyle w:val="63"/>
          <w:rFonts w:ascii="Times New Roman"/>
        </w:rPr>
        <w:t>石油烃（C10-C40）也可分段开展风险计算</w:t>
      </w:r>
      <w:bookmarkStart w:id="109" w:name="_Hlk36928668"/>
      <w:r>
        <w:rPr>
          <w:rStyle w:val="63"/>
          <w:rFonts w:ascii="Times New Roman"/>
        </w:rPr>
        <w:t xml:space="preserve">，不同类型石油烃各碳段的推荐分配比例见下表2-3，各碳段的理化参数和毒性参数见表2-4和2-5。 </w:t>
      </w:r>
    </w:p>
    <w:p>
      <w:pPr>
        <w:pageBreakBefore/>
        <w:adjustRightInd w:val="0"/>
        <w:spacing w:line="360" w:lineRule="exact"/>
        <w:ind w:firstLine="0" w:firstLineChars="0"/>
        <w:jc w:val="center"/>
        <w:rPr>
          <w:rFonts w:eastAsia="黑体" w:cs="Times New Roman"/>
          <w:sz w:val="22"/>
          <w:szCs w:val="21"/>
        </w:rPr>
      </w:pPr>
      <w:r>
        <w:rPr>
          <w:rFonts w:eastAsia="黑体" w:cs="Times New Roman"/>
          <w:sz w:val="22"/>
          <w:szCs w:val="21"/>
        </w:rPr>
        <w:t>表2-3 石油烃（C10-C40）各碳段推荐分配比例*</w:t>
      </w:r>
    </w:p>
    <w:tbl>
      <w:tblPr>
        <w:tblStyle w:val="1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275"/>
        <w:gridCol w:w="1276"/>
        <w:gridCol w:w="1276"/>
        <w:gridCol w:w="1134"/>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分段名称</w:t>
            </w:r>
          </w:p>
        </w:tc>
        <w:tc>
          <w:tcPr>
            <w:tcW w:w="127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原油类%</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汽油类%</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柴油类%</w:t>
            </w:r>
          </w:p>
        </w:tc>
        <w:tc>
          <w:tcPr>
            <w:tcW w:w="1134"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润滑油类%</w:t>
            </w:r>
          </w:p>
        </w:tc>
        <w:tc>
          <w:tcPr>
            <w:tcW w:w="121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混合油类%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脂肪烃C</w:t>
            </w:r>
            <w:r>
              <w:rPr>
                <w:rFonts w:eastAsia="宋体" w:cs="Times New Roman"/>
                <w:sz w:val="18"/>
                <w:szCs w:val="18"/>
                <w:vertAlign w:val="subscript"/>
              </w:rPr>
              <w:t>10</w:t>
            </w:r>
            <w:r>
              <w:rPr>
                <w:rFonts w:eastAsia="宋体" w:cs="Times New Roman"/>
                <w:sz w:val="18"/>
                <w:szCs w:val="18"/>
              </w:rPr>
              <w:t>-C</w:t>
            </w:r>
            <w:r>
              <w:rPr>
                <w:rFonts w:eastAsia="宋体" w:cs="Times New Roman"/>
                <w:sz w:val="18"/>
                <w:szCs w:val="18"/>
                <w:vertAlign w:val="subscript"/>
              </w:rPr>
              <w:t>12</w:t>
            </w:r>
          </w:p>
        </w:tc>
        <w:tc>
          <w:tcPr>
            <w:tcW w:w="127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6.6</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29.3</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12.9</w:t>
            </w:r>
          </w:p>
        </w:tc>
        <w:tc>
          <w:tcPr>
            <w:tcW w:w="1134"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3.8</w:t>
            </w:r>
          </w:p>
        </w:tc>
        <w:tc>
          <w:tcPr>
            <w:tcW w:w="121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脂肪烃C</w:t>
            </w:r>
            <w:r>
              <w:rPr>
                <w:rFonts w:eastAsia="宋体" w:cs="Times New Roman"/>
                <w:sz w:val="18"/>
                <w:szCs w:val="18"/>
                <w:vertAlign w:val="subscript"/>
              </w:rPr>
              <w:t>13</w:t>
            </w:r>
            <w:r>
              <w:rPr>
                <w:rFonts w:eastAsia="宋体" w:cs="Times New Roman"/>
                <w:sz w:val="18"/>
                <w:szCs w:val="18"/>
              </w:rPr>
              <w:t>-C</w:t>
            </w:r>
            <w:r>
              <w:rPr>
                <w:rFonts w:eastAsia="宋体" w:cs="Times New Roman"/>
                <w:sz w:val="18"/>
                <w:szCs w:val="18"/>
                <w:vertAlign w:val="subscript"/>
              </w:rPr>
              <w:t>16</w:t>
            </w:r>
          </w:p>
        </w:tc>
        <w:tc>
          <w:tcPr>
            <w:tcW w:w="127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13.5</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12.8</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15.4</w:t>
            </w:r>
          </w:p>
        </w:tc>
        <w:tc>
          <w:tcPr>
            <w:tcW w:w="1134"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6.6</w:t>
            </w:r>
          </w:p>
        </w:tc>
        <w:tc>
          <w:tcPr>
            <w:tcW w:w="121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脂肪烃C</w:t>
            </w:r>
            <w:r>
              <w:rPr>
                <w:rFonts w:eastAsia="宋体" w:cs="Times New Roman"/>
                <w:sz w:val="18"/>
                <w:szCs w:val="18"/>
                <w:vertAlign w:val="subscript"/>
              </w:rPr>
              <w:t>17</w:t>
            </w:r>
            <w:r>
              <w:rPr>
                <w:rFonts w:eastAsia="宋体" w:cs="Times New Roman"/>
                <w:sz w:val="18"/>
                <w:szCs w:val="18"/>
              </w:rPr>
              <w:t>-C</w:t>
            </w:r>
            <w:r>
              <w:rPr>
                <w:rFonts w:eastAsia="宋体" w:cs="Times New Roman"/>
                <w:sz w:val="18"/>
                <w:szCs w:val="18"/>
                <w:vertAlign w:val="subscript"/>
              </w:rPr>
              <w:t>21</w:t>
            </w:r>
          </w:p>
        </w:tc>
        <w:tc>
          <w:tcPr>
            <w:tcW w:w="127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25.4</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12.6</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26.2</w:t>
            </w:r>
          </w:p>
        </w:tc>
        <w:tc>
          <w:tcPr>
            <w:tcW w:w="1134"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20.0</w:t>
            </w:r>
          </w:p>
        </w:tc>
        <w:tc>
          <w:tcPr>
            <w:tcW w:w="121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脂肪烃C</w:t>
            </w:r>
            <w:r>
              <w:rPr>
                <w:rFonts w:eastAsia="宋体" w:cs="Times New Roman"/>
                <w:sz w:val="18"/>
                <w:szCs w:val="18"/>
                <w:vertAlign w:val="subscript"/>
              </w:rPr>
              <w:t>22</w:t>
            </w:r>
            <w:r>
              <w:rPr>
                <w:rFonts w:eastAsia="宋体" w:cs="Times New Roman"/>
                <w:sz w:val="18"/>
                <w:szCs w:val="18"/>
              </w:rPr>
              <w:t>-C</w:t>
            </w:r>
            <w:r>
              <w:rPr>
                <w:rFonts w:eastAsia="宋体" w:cs="Times New Roman"/>
                <w:sz w:val="18"/>
                <w:szCs w:val="18"/>
                <w:vertAlign w:val="subscript"/>
              </w:rPr>
              <w:t>40</w:t>
            </w:r>
          </w:p>
        </w:tc>
        <w:tc>
          <w:tcPr>
            <w:tcW w:w="127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40.2</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8.1</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8.1</w:t>
            </w:r>
          </w:p>
        </w:tc>
        <w:tc>
          <w:tcPr>
            <w:tcW w:w="1134"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47.3</w:t>
            </w:r>
          </w:p>
        </w:tc>
        <w:tc>
          <w:tcPr>
            <w:tcW w:w="121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芳香烃C</w:t>
            </w:r>
            <w:r>
              <w:rPr>
                <w:rFonts w:eastAsia="宋体" w:cs="Times New Roman"/>
                <w:sz w:val="18"/>
                <w:szCs w:val="18"/>
                <w:vertAlign w:val="subscript"/>
              </w:rPr>
              <w:t>10</w:t>
            </w:r>
            <w:r>
              <w:rPr>
                <w:rFonts w:eastAsia="宋体" w:cs="Times New Roman"/>
                <w:sz w:val="18"/>
                <w:szCs w:val="18"/>
              </w:rPr>
              <w:t>-C</w:t>
            </w:r>
            <w:r>
              <w:rPr>
                <w:rFonts w:eastAsia="宋体" w:cs="Times New Roman"/>
                <w:sz w:val="18"/>
                <w:szCs w:val="18"/>
                <w:vertAlign w:val="subscript"/>
              </w:rPr>
              <w:t>12</w:t>
            </w:r>
          </w:p>
        </w:tc>
        <w:tc>
          <w:tcPr>
            <w:tcW w:w="127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1.1</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17.0</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6.5</w:t>
            </w:r>
          </w:p>
        </w:tc>
        <w:tc>
          <w:tcPr>
            <w:tcW w:w="1134"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0.4</w:t>
            </w:r>
          </w:p>
        </w:tc>
        <w:tc>
          <w:tcPr>
            <w:tcW w:w="121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芳香烃C</w:t>
            </w:r>
            <w:r>
              <w:rPr>
                <w:rFonts w:eastAsia="宋体" w:cs="Times New Roman"/>
                <w:sz w:val="18"/>
                <w:szCs w:val="18"/>
                <w:vertAlign w:val="subscript"/>
              </w:rPr>
              <w:t>13</w:t>
            </w:r>
            <w:r>
              <w:rPr>
                <w:rFonts w:eastAsia="宋体" w:cs="Times New Roman"/>
                <w:sz w:val="18"/>
                <w:szCs w:val="18"/>
              </w:rPr>
              <w:t>-C</w:t>
            </w:r>
            <w:r>
              <w:rPr>
                <w:rFonts w:eastAsia="宋体" w:cs="Times New Roman"/>
                <w:sz w:val="18"/>
                <w:szCs w:val="18"/>
                <w:vertAlign w:val="subscript"/>
              </w:rPr>
              <w:t>16</w:t>
            </w:r>
          </w:p>
        </w:tc>
        <w:tc>
          <w:tcPr>
            <w:tcW w:w="127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2.0</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10.3</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12.3</w:t>
            </w:r>
          </w:p>
        </w:tc>
        <w:tc>
          <w:tcPr>
            <w:tcW w:w="1134"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1.3</w:t>
            </w:r>
          </w:p>
        </w:tc>
        <w:tc>
          <w:tcPr>
            <w:tcW w:w="121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芳香烃C</w:t>
            </w:r>
            <w:r>
              <w:rPr>
                <w:rFonts w:eastAsia="宋体" w:cs="Times New Roman"/>
                <w:sz w:val="18"/>
                <w:szCs w:val="18"/>
                <w:vertAlign w:val="subscript"/>
              </w:rPr>
              <w:t>17</w:t>
            </w:r>
            <w:r>
              <w:rPr>
                <w:rFonts w:eastAsia="宋体" w:cs="Times New Roman"/>
                <w:sz w:val="18"/>
                <w:szCs w:val="18"/>
              </w:rPr>
              <w:t>-C</w:t>
            </w:r>
            <w:r>
              <w:rPr>
                <w:rFonts w:eastAsia="宋体" w:cs="Times New Roman"/>
                <w:sz w:val="18"/>
                <w:szCs w:val="18"/>
                <w:vertAlign w:val="subscript"/>
              </w:rPr>
              <w:t>21</w:t>
            </w:r>
          </w:p>
        </w:tc>
        <w:tc>
          <w:tcPr>
            <w:tcW w:w="127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4.2</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9.3</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14.0</w:t>
            </w:r>
          </w:p>
        </w:tc>
        <w:tc>
          <w:tcPr>
            <w:tcW w:w="1134"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4.6</w:t>
            </w:r>
          </w:p>
        </w:tc>
        <w:tc>
          <w:tcPr>
            <w:tcW w:w="121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芳香烃C</w:t>
            </w:r>
            <w:r>
              <w:rPr>
                <w:rFonts w:eastAsia="宋体" w:cs="Times New Roman"/>
                <w:sz w:val="18"/>
                <w:szCs w:val="18"/>
                <w:vertAlign w:val="subscript"/>
              </w:rPr>
              <w:t>22</w:t>
            </w:r>
            <w:r>
              <w:rPr>
                <w:rFonts w:eastAsia="宋体" w:cs="Times New Roman"/>
                <w:sz w:val="18"/>
                <w:szCs w:val="18"/>
              </w:rPr>
              <w:t>-C</w:t>
            </w:r>
            <w:r>
              <w:rPr>
                <w:rFonts w:eastAsia="宋体" w:cs="Times New Roman"/>
                <w:sz w:val="18"/>
                <w:szCs w:val="18"/>
                <w:vertAlign w:val="subscript"/>
              </w:rPr>
              <w:t>40</w:t>
            </w:r>
          </w:p>
        </w:tc>
        <w:tc>
          <w:tcPr>
            <w:tcW w:w="127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7.0</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0.6</w:t>
            </w:r>
          </w:p>
        </w:tc>
        <w:tc>
          <w:tcPr>
            <w:tcW w:w="12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4.6</w:t>
            </w:r>
          </w:p>
        </w:tc>
        <w:tc>
          <w:tcPr>
            <w:tcW w:w="1134"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16.0</w:t>
            </w:r>
          </w:p>
        </w:tc>
        <w:tc>
          <w:tcPr>
            <w:tcW w:w="121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9.2</w:t>
            </w:r>
          </w:p>
        </w:tc>
      </w:tr>
    </w:tbl>
    <w:p>
      <w:pPr>
        <w:pStyle w:val="6"/>
        <w:widowControl/>
        <w:spacing w:before="0" w:after="0" w:line="360" w:lineRule="exact"/>
        <w:ind w:firstLine="403" w:firstLineChars="0"/>
        <w:jc w:val="left"/>
        <w:textAlignment w:val="baseline"/>
        <w:rPr>
          <w:rStyle w:val="63"/>
          <w:rFonts w:ascii="Times New Roman" w:hAnsi="Times New Roman" w:eastAsia="宋体" w:cs="Times New Roman"/>
          <w:sz w:val="18"/>
          <w:szCs w:val="18"/>
        </w:rPr>
      </w:pPr>
      <w:r>
        <w:rPr>
          <w:rStyle w:val="63"/>
          <w:rFonts w:ascii="Times New Roman" w:hAnsi="Times New Roman" w:eastAsia="宋体" w:cs="Times New Roman"/>
          <w:sz w:val="18"/>
          <w:szCs w:val="18"/>
        </w:rPr>
        <w:t>*注：（1）加油站的汽油罐区和柴油罐区，分别归属于汽油类污染和柴油类污染进行甄别；</w:t>
      </w:r>
    </w:p>
    <w:p>
      <w:pPr>
        <w:pStyle w:val="6"/>
        <w:widowControl/>
        <w:spacing w:before="0" w:after="0" w:line="360" w:lineRule="exact"/>
        <w:ind w:firstLine="403" w:firstLineChars="0"/>
        <w:jc w:val="left"/>
        <w:textAlignment w:val="baseline"/>
        <w:rPr>
          <w:rStyle w:val="63"/>
          <w:rFonts w:ascii="Times New Roman" w:hAnsi="Times New Roman" w:eastAsia="宋体" w:cs="Times New Roman"/>
          <w:sz w:val="18"/>
          <w:szCs w:val="18"/>
        </w:rPr>
      </w:pPr>
      <w:r>
        <w:rPr>
          <w:rStyle w:val="63"/>
          <w:rFonts w:ascii="Times New Roman" w:hAnsi="Times New Roman" w:eastAsia="宋体" w:cs="Times New Roman"/>
          <w:sz w:val="18"/>
          <w:szCs w:val="18"/>
        </w:rPr>
        <w:t>（2）石油加工行业涉及到的原油提炼生产加工以及油品的储存区域，应根据不通同油品库归属不同类型污染进行甄别；</w:t>
      </w:r>
    </w:p>
    <w:p>
      <w:pPr>
        <w:pStyle w:val="6"/>
        <w:widowControl/>
        <w:spacing w:before="0" w:after="0" w:line="360" w:lineRule="exact"/>
        <w:ind w:firstLine="403" w:firstLineChars="0"/>
        <w:jc w:val="left"/>
        <w:textAlignment w:val="baseline"/>
        <w:rPr>
          <w:rStyle w:val="63"/>
          <w:rFonts w:ascii="Times New Roman" w:hAnsi="Times New Roman" w:eastAsia="宋体" w:cs="Times New Roman"/>
          <w:sz w:val="18"/>
          <w:szCs w:val="18"/>
        </w:rPr>
      </w:pPr>
      <w:r>
        <w:rPr>
          <w:rStyle w:val="63"/>
          <w:rFonts w:ascii="Times New Roman" w:hAnsi="Times New Roman" w:eastAsia="宋体" w:cs="Times New Roman"/>
          <w:sz w:val="18"/>
          <w:szCs w:val="18"/>
        </w:rPr>
        <w:t>（3）金属制品、化学原料和化学制造、医药制造、计算机通讯和其他电子设备制造、电力热力生产和供应、生态环境治理等行业的生产加工区域归属于润滑油类污染进行甄别，行业地块内有汽油储罐或柴油储罐的区域归属于汽油类或柴油类污染进行甄别；</w:t>
      </w:r>
    </w:p>
    <w:p>
      <w:pPr>
        <w:pStyle w:val="6"/>
        <w:widowControl/>
        <w:spacing w:before="0" w:after="0" w:line="360" w:lineRule="exact"/>
        <w:ind w:firstLine="403" w:firstLineChars="0"/>
        <w:jc w:val="left"/>
        <w:textAlignment w:val="baseline"/>
        <w:rPr>
          <w:rStyle w:val="63"/>
          <w:rFonts w:ascii="Times New Roman" w:hAnsi="Times New Roman" w:eastAsia="宋体" w:cs="Times New Roman"/>
          <w:sz w:val="18"/>
          <w:szCs w:val="18"/>
        </w:rPr>
      </w:pPr>
      <w:r>
        <w:rPr>
          <w:rStyle w:val="63"/>
          <w:rFonts w:ascii="Times New Roman" w:hAnsi="Times New Roman" w:eastAsia="宋体" w:cs="Times New Roman"/>
          <w:sz w:val="18"/>
          <w:szCs w:val="18"/>
        </w:rPr>
        <w:t>（4）通过调查甄别如发现地块同一区域内有2种或2种以上的石油类污染，或者石油类污染来源不明的，归属于混合油类污染。</w:t>
      </w:r>
    </w:p>
    <w:p>
      <w:pPr>
        <w:adjustRightInd w:val="0"/>
        <w:spacing w:line="360" w:lineRule="exact"/>
        <w:ind w:firstLine="0" w:firstLineChars="0"/>
        <w:jc w:val="center"/>
        <w:rPr>
          <w:rFonts w:eastAsia="黑体" w:cs="Times New Roman"/>
          <w:sz w:val="22"/>
          <w:szCs w:val="21"/>
        </w:rPr>
      </w:pPr>
      <w:r>
        <w:rPr>
          <w:rFonts w:eastAsia="黑体" w:cs="Times New Roman"/>
          <w:sz w:val="22"/>
          <w:szCs w:val="21"/>
        </w:rPr>
        <w:t>表2-4石油烃（C10-C40）各碳段的理化参数</w:t>
      </w:r>
    </w:p>
    <w:tbl>
      <w:tblPr>
        <w:tblStyle w:val="18"/>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122"/>
        <w:gridCol w:w="1012"/>
        <w:gridCol w:w="1047"/>
        <w:gridCol w:w="1061"/>
        <w:gridCol w:w="992"/>
        <w:gridCol w:w="1227"/>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分段名称</w:t>
            </w:r>
          </w:p>
        </w:tc>
        <w:tc>
          <w:tcPr>
            <w:tcW w:w="1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分子量g/mol</w:t>
            </w:r>
          </w:p>
        </w:tc>
        <w:tc>
          <w:tcPr>
            <w:tcW w:w="10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水中溶解度mg/L</w:t>
            </w:r>
          </w:p>
        </w:tc>
        <w:tc>
          <w:tcPr>
            <w:tcW w:w="104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蒸气压mmHg</w:t>
            </w:r>
          </w:p>
        </w:tc>
        <w:tc>
          <w:tcPr>
            <w:tcW w:w="1061"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亨利常数</w:t>
            </w:r>
          </w:p>
        </w:tc>
        <w:tc>
          <w:tcPr>
            <w:tcW w:w="99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空气中扩散系数m</w:t>
            </w:r>
            <w:r>
              <w:rPr>
                <w:rFonts w:eastAsia="宋体" w:cs="Times New Roman"/>
                <w:sz w:val="18"/>
                <w:szCs w:val="18"/>
                <w:vertAlign w:val="superscript"/>
              </w:rPr>
              <w:t>2</w:t>
            </w:r>
            <w:r>
              <w:rPr>
                <w:rFonts w:eastAsia="宋体" w:cs="Times New Roman"/>
                <w:sz w:val="18"/>
                <w:szCs w:val="18"/>
              </w:rPr>
              <w:t>/s</w:t>
            </w:r>
          </w:p>
        </w:tc>
        <w:tc>
          <w:tcPr>
            <w:tcW w:w="122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水中扩散系数m</w:t>
            </w:r>
            <w:r>
              <w:rPr>
                <w:rFonts w:eastAsia="宋体" w:cs="Times New Roman"/>
                <w:sz w:val="18"/>
                <w:szCs w:val="18"/>
                <w:vertAlign w:val="superscript"/>
              </w:rPr>
              <w:t>2</w:t>
            </w:r>
            <w:r>
              <w:rPr>
                <w:rFonts w:eastAsia="宋体" w:cs="Times New Roman"/>
                <w:sz w:val="18"/>
                <w:szCs w:val="18"/>
              </w:rPr>
              <w:t>/s</w:t>
            </w:r>
          </w:p>
        </w:tc>
        <w:tc>
          <w:tcPr>
            <w:tcW w:w="1178"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土壤有机碳水分配系数cm</w:t>
            </w:r>
            <w:r>
              <w:rPr>
                <w:rFonts w:eastAsia="宋体" w:cs="Times New Roman"/>
                <w:sz w:val="18"/>
                <w:szCs w:val="18"/>
                <w:vertAlign w:val="superscript"/>
              </w:rPr>
              <w:t>3</w:t>
            </w:r>
            <w:r>
              <w:rPr>
                <w:rFonts w:eastAsia="宋体" w:cs="Times New Roman"/>
                <w:sz w:val="18"/>
                <w:szCs w:val="1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脂肪烃C</w:t>
            </w:r>
            <w:r>
              <w:rPr>
                <w:rFonts w:eastAsia="宋体" w:cs="Times New Roman"/>
                <w:sz w:val="18"/>
                <w:szCs w:val="18"/>
                <w:vertAlign w:val="subscript"/>
              </w:rPr>
              <w:t>10</w:t>
            </w:r>
            <w:r>
              <w:rPr>
                <w:rFonts w:eastAsia="宋体" w:cs="Times New Roman"/>
                <w:sz w:val="18"/>
                <w:szCs w:val="18"/>
              </w:rPr>
              <w:t>-C</w:t>
            </w:r>
            <w:r>
              <w:rPr>
                <w:rFonts w:eastAsia="宋体" w:cs="Times New Roman"/>
                <w:sz w:val="18"/>
                <w:szCs w:val="18"/>
                <w:vertAlign w:val="subscript"/>
              </w:rPr>
              <w:t>12</w:t>
            </w:r>
          </w:p>
        </w:tc>
        <w:tc>
          <w:tcPr>
            <w:tcW w:w="1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1.60E+02</w:t>
            </w:r>
          </w:p>
        </w:tc>
        <w:tc>
          <w:tcPr>
            <w:tcW w:w="10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3.40E-02</w:t>
            </w:r>
          </w:p>
        </w:tc>
        <w:tc>
          <w:tcPr>
            <w:tcW w:w="104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4.79E-01</w:t>
            </w:r>
          </w:p>
        </w:tc>
        <w:tc>
          <w:tcPr>
            <w:tcW w:w="1061"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1.20E+02</w:t>
            </w:r>
          </w:p>
        </w:tc>
        <w:tc>
          <w:tcPr>
            <w:tcW w:w="99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1.00E-05</w:t>
            </w:r>
          </w:p>
        </w:tc>
        <w:tc>
          <w:tcPr>
            <w:tcW w:w="122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1.00E-09</w:t>
            </w:r>
          </w:p>
        </w:tc>
        <w:tc>
          <w:tcPr>
            <w:tcW w:w="1178"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2.51E+05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脂肪烃C</w:t>
            </w:r>
            <w:r>
              <w:rPr>
                <w:rFonts w:eastAsia="宋体" w:cs="Times New Roman"/>
                <w:sz w:val="18"/>
                <w:szCs w:val="18"/>
                <w:vertAlign w:val="subscript"/>
              </w:rPr>
              <w:t>13</w:t>
            </w:r>
            <w:r>
              <w:rPr>
                <w:rFonts w:eastAsia="宋体" w:cs="Times New Roman"/>
                <w:sz w:val="18"/>
                <w:szCs w:val="18"/>
              </w:rPr>
              <w:t>-C</w:t>
            </w:r>
            <w:r>
              <w:rPr>
                <w:rFonts w:eastAsia="宋体" w:cs="Times New Roman"/>
                <w:sz w:val="18"/>
                <w:szCs w:val="18"/>
                <w:vertAlign w:val="subscript"/>
              </w:rPr>
              <w:t>16</w:t>
            </w:r>
          </w:p>
        </w:tc>
        <w:tc>
          <w:tcPr>
            <w:tcW w:w="1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2.00E+02</w:t>
            </w:r>
          </w:p>
        </w:tc>
        <w:tc>
          <w:tcPr>
            <w:tcW w:w="10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7.60E-02</w:t>
            </w:r>
          </w:p>
        </w:tc>
        <w:tc>
          <w:tcPr>
            <w:tcW w:w="1047" w:type="dxa"/>
            <w:vAlign w:val="center"/>
          </w:tcPr>
          <w:p>
            <w:pPr>
              <w:adjustRightInd w:val="0"/>
              <w:spacing w:line="360" w:lineRule="exact"/>
              <w:ind w:firstLine="0" w:firstLineChars="0"/>
              <w:jc w:val="center"/>
              <w:rPr>
                <w:rFonts w:eastAsia="宋体" w:cs="Times New Roman"/>
                <w:b/>
                <w:bCs/>
                <w:sz w:val="18"/>
                <w:szCs w:val="18"/>
              </w:rPr>
            </w:pPr>
            <w:r>
              <w:rPr>
                <w:rFonts w:eastAsia="宋体" w:cs="Times New Roman"/>
                <w:sz w:val="18"/>
                <w:szCs w:val="18"/>
              </w:rPr>
              <w:t>3.65E-02</w:t>
            </w:r>
          </w:p>
        </w:tc>
        <w:tc>
          <w:tcPr>
            <w:tcW w:w="1061"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5.20E+02</w:t>
            </w:r>
          </w:p>
        </w:tc>
        <w:tc>
          <w:tcPr>
            <w:tcW w:w="99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1.00E-05</w:t>
            </w:r>
          </w:p>
        </w:tc>
        <w:tc>
          <w:tcPr>
            <w:tcW w:w="122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1.00E-09</w:t>
            </w:r>
          </w:p>
        </w:tc>
        <w:tc>
          <w:tcPr>
            <w:tcW w:w="1178"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5.01E+06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脂肪烃C</w:t>
            </w:r>
            <w:r>
              <w:rPr>
                <w:rFonts w:eastAsia="宋体" w:cs="Times New Roman"/>
                <w:sz w:val="18"/>
                <w:szCs w:val="18"/>
                <w:vertAlign w:val="subscript"/>
              </w:rPr>
              <w:t>17</w:t>
            </w:r>
            <w:r>
              <w:rPr>
                <w:rFonts w:eastAsia="宋体" w:cs="Times New Roman"/>
                <w:sz w:val="18"/>
                <w:szCs w:val="18"/>
              </w:rPr>
              <w:t>-C</w:t>
            </w:r>
            <w:r>
              <w:rPr>
                <w:rFonts w:eastAsia="宋体" w:cs="Times New Roman"/>
                <w:sz w:val="18"/>
                <w:szCs w:val="18"/>
                <w:vertAlign w:val="subscript"/>
              </w:rPr>
              <w:t>21</w:t>
            </w:r>
          </w:p>
        </w:tc>
        <w:tc>
          <w:tcPr>
            <w:tcW w:w="1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2.70E+02</w:t>
            </w:r>
          </w:p>
        </w:tc>
        <w:tc>
          <w:tcPr>
            <w:tcW w:w="10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2.50E-02</w:t>
            </w:r>
          </w:p>
        </w:tc>
        <w:tc>
          <w:tcPr>
            <w:tcW w:w="104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8.40E-04</w:t>
            </w:r>
          </w:p>
        </w:tc>
        <w:tc>
          <w:tcPr>
            <w:tcW w:w="1061"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4.90E+03</w:t>
            </w:r>
          </w:p>
        </w:tc>
        <w:tc>
          <w:tcPr>
            <w:tcW w:w="99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1.00E-05</w:t>
            </w:r>
          </w:p>
        </w:tc>
        <w:tc>
          <w:tcPr>
            <w:tcW w:w="122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1.00E-09</w:t>
            </w:r>
          </w:p>
        </w:tc>
        <w:tc>
          <w:tcPr>
            <w:tcW w:w="1178"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6.31E+08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脂肪烃C</w:t>
            </w:r>
            <w:r>
              <w:rPr>
                <w:rFonts w:eastAsia="宋体" w:cs="Times New Roman"/>
                <w:sz w:val="18"/>
                <w:szCs w:val="18"/>
                <w:vertAlign w:val="subscript"/>
              </w:rPr>
              <w:t>22</w:t>
            </w:r>
            <w:r>
              <w:rPr>
                <w:rFonts w:eastAsia="宋体" w:cs="Times New Roman"/>
                <w:sz w:val="18"/>
                <w:szCs w:val="18"/>
              </w:rPr>
              <w:t>-C</w:t>
            </w:r>
            <w:r>
              <w:rPr>
                <w:rFonts w:eastAsia="宋体" w:cs="Times New Roman"/>
                <w:sz w:val="18"/>
                <w:szCs w:val="18"/>
                <w:vertAlign w:val="subscript"/>
              </w:rPr>
              <w:t>40</w:t>
            </w:r>
          </w:p>
        </w:tc>
        <w:tc>
          <w:tcPr>
            <w:tcW w:w="1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4.00E+02</w:t>
            </w:r>
          </w:p>
        </w:tc>
        <w:tc>
          <w:tcPr>
            <w:tcW w:w="10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2.50E-02</w:t>
            </w:r>
          </w:p>
        </w:tc>
        <w:tc>
          <w:tcPr>
            <w:tcW w:w="104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8.40E-04</w:t>
            </w:r>
          </w:p>
        </w:tc>
        <w:tc>
          <w:tcPr>
            <w:tcW w:w="1061"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4.90E+03</w:t>
            </w:r>
          </w:p>
        </w:tc>
        <w:tc>
          <w:tcPr>
            <w:tcW w:w="99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1.00E-05</w:t>
            </w:r>
          </w:p>
        </w:tc>
        <w:tc>
          <w:tcPr>
            <w:tcW w:w="122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1.00E-09</w:t>
            </w:r>
          </w:p>
        </w:tc>
        <w:tc>
          <w:tcPr>
            <w:tcW w:w="1178"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6.31E+08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芳香烃C</w:t>
            </w:r>
            <w:r>
              <w:rPr>
                <w:rFonts w:eastAsia="宋体" w:cs="Times New Roman"/>
                <w:sz w:val="18"/>
                <w:szCs w:val="18"/>
                <w:vertAlign w:val="subscript"/>
              </w:rPr>
              <w:t>10</w:t>
            </w:r>
            <w:r>
              <w:rPr>
                <w:rFonts w:eastAsia="宋体" w:cs="Times New Roman"/>
                <w:sz w:val="18"/>
                <w:szCs w:val="18"/>
              </w:rPr>
              <w:t>-C</w:t>
            </w:r>
            <w:r>
              <w:rPr>
                <w:rFonts w:eastAsia="宋体" w:cs="Times New Roman"/>
                <w:sz w:val="18"/>
                <w:szCs w:val="18"/>
                <w:vertAlign w:val="subscript"/>
              </w:rPr>
              <w:t>12</w:t>
            </w:r>
          </w:p>
        </w:tc>
        <w:tc>
          <w:tcPr>
            <w:tcW w:w="1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1.30E+02</w:t>
            </w:r>
          </w:p>
        </w:tc>
        <w:tc>
          <w:tcPr>
            <w:tcW w:w="10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2.50E-02</w:t>
            </w:r>
          </w:p>
        </w:tc>
        <w:tc>
          <w:tcPr>
            <w:tcW w:w="104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4.79E-01</w:t>
            </w:r>
          </w:p>
        </w:tc>
        <w:tc>
          <w:tcPr>
            <w:tcW w:w="1061"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1.40E-01</w:t>
            </w:r>
          </w:p>
        </w:tc>
        <w:tc>
          <w:tcPr>
            <w:tcW w:w="99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1.00E-05</w:t>
            </w:r>
          </w:p>
        </w:tc>
        <w:tc>
          <w:tcPr>
            <w:tcW w:w="122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1.00E-09</w:t>
            </w:r>
          </w:p>
        </w:tc>
        <w:tc>
          <w:tcPr>
            <w:tcW w:w="1178"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2.51E+03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芳香烃C</w:t>
            </w:r>
            <w:r>
              <w:rPr>
                <w:rFonts w:eastAsia="宋体" w:cs="Times New Roman"/>
                <w:sz w:val="18"/>
                <w:szCs w:val="18"/>
                <w:vertAlign w:val="subscript"/>
              </w:rPr>
              <w:t>13</w:t>
            </w:r>
            <w:r>
              <w:rPr>
                <w:rFonts w:eastAsia="宋体" w:cs="Times New Roman"/>
                <w:sz w:val="18"/>
                <w:szCs w:val="18"/>
              </w:rPr>
              <w:t>-C</w:t>
            </w:r>
            <w:r>
              <w:rPr>
                <w:rFonts w:eastAsia="宋体" w:cs="Times New Roman"/>
                <w:sz w:val="18"/>
                <w:szCs w:val="18"/>
                <w:vertAlign w:val="subscript"/>
              </w:rPr>
              <w:t>16</w:t>
            </w:r>
          </w:p>
        </w:tc>
        <w:tc>
          <w:tcPr>
            <w:tcW w:w="1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1.50E+02</w:t>
            </w:r>
          </w:p>
        </w:tc>
        <w:tc>
          <w:tcPr>
            <w:tcW w:w="10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5.80E-02</w:t>
            </w:r>
          </w:p>
        </w:tc>
        <w:tc>
          <w:tcPr>
            <w:tcW w:w="104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3.65E-02</w:t>
            </w:r>
          </w:p>
        </w:tc>
        <w:tc>
          <w:tcPr>
            <w:tcW w:w="1061"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5.30E-02</w:t>
            </w:r>
          </w:p>
        </w:tc>
        <w:tc>
          <w:tcPr>
            <w:tcW w:w="99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1.00E-05</w:t>
            </w:r>
          </w:p>
        </w:tc>
        <w:tc>
          <w:tcPr>
            <w:tcW w:w="122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1.00E-09</w:t>
            </w:r>
          </w:p>
        </w:tc>
        <w:tc>
          <w:tcPr>
            <w:tcW w:w="1178"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5.01E+03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芳香烃C</w:t>
            </w:r>
            <w:r>
              <w:rPr>
                <w:rFonts w:eastAsia="宋体" w:cs="Times New Roman"/>
                <w:sz w:val="18"/>
                <w:szCs w:val="18"/>
                <w:vertAlign w:val="subscript"/>
              </w:rPr>
              <w:t>17</w:t>
            </w:r>
            <w:r>
              <w:rPr>
                <w:rFonts w:eastAsia="宋体" w:cs="Times New Roman"/>
                <w:sz w:val="18"/>
                <w:szCs w:val="18"/>
              </w:rPr>
              <w:t>-C</w:t>
            </w:r>
            <w:r>
              <w:rPr>
                <w:rFonts w:eastAsia="宋体" w:cs="Times New Roman"/>
                <w:sz w:val="18"/>
                <w:szCs w:val="18"/>
                <w:vertAlign w:val="subscript"/>
              </w:rPr>
              <w:t>21</w:t>
            </w:r>
          </w:p>
        </w:tc>
        <w:tc>
          <w:tcPr>
            <w:tcW w:w="1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1.90E+02</w:t>
            </w:r>
          </w:p>
        </w:tc>
        <w:tc>
          <w:tcPr>
            <w:tcW w:w="10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6.50E-02</w:t>
            </w:r>
          </w:p>
        </w:tc>
        <w:tc>
          <w:tcPr>
            <w:tcW w:w="104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8.40E-04</w:t>
            </w:r>
          </w:p>
        </w:tc>
        <w:tc>
          <w:tcPr>
            <w:tcW w:w="1061"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1.30E-02</w:t>
            </w:r>
          </w:p>
        </w:tc>
        <w:tc>
          <w:tcPr>
            <w:tcW w:w="99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1.00E-05</w:t>
            </w:r>
          </w:p>
        </w:tc>
        <w:tc>
          <w:tcPr>
            <w:tcW w:w="122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1.00E-09</w:t>
            </w:r>
          </w:p>
        </w:tc>
        <w:tc>
          <w:tcPr>
            <w:tcW w:w="1178"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1.58E+04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芳香烃C</w:t>
            </w:r>
            <w:r>
              <w:rPr>
                <w:rFonts w:eastAsia="宋体" w:cs="Times New Roman"/>
                <w:sz w:val="18"/>
                <w:szCs w:val="18"/>
                <w:vertAlign w:val="subscript"/>
              </w:rPr>
              <w:t>22</w:t>
            </w:r>
            <w:r>
              <w:rPr>
                <w:rFonts w:eastAsia="宋体" w:cs="Times New Roman"/>
                <w:sz w:val="18"/>
                <w:szCs w:val="18"/>
              </w:rPr>
              <w:t>-C</w:t>
            </w:r>
            <w:r>
              <w:rPr>
                <w:rFonts w:eastAsia="宋体" w:cs="Times New Roman"/>
                <w:sz w:val="18"/>
                <w:szCs w:val="18"/>
                <w:vertAlign w:val="subscript"/>
              </w:rPr>
              <w:t>40</w:t>
            </w:r>
          </w:p>
        </w:tc>
        <w:tc>
          <w:tcPr>
            <w:tcW w:w="112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2.40E+02</w:t>
            </w:r>
          </w:p>
        </w:tc>
        <w:tc>
          <w:tcPr>
            <w:tcW w:w="101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6.60E-02</w:t>
            </w:r>
          </w:p>
        </w:tc>
        <w:tc>
          <w:tcPr>
            <w:tcW w:w="104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3.30E-07</w:t>
            </w:r>
          </w:p>
        </w:tc>
        <w:tc>
          <w:tcPr>
            <w:tcW w:w="1061"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6.70E-04</w:t>
            </w:r>
          </w:p>
        </w:tc>
        <w:tc>
          <w:tcPr>
            <w:tcW w:w="992"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1.00E-05</w:t>
            </w:r>
          </w:p>
        </w:tc>
        <w:tc>
          <w:tcPr>
            <w:tcW w:w="1227"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1.00E-09</w:t>
            </w:r>
          </w:p>
        </w:tc>
        <w:tc>
          <w:tcPr>
            <w:tcW w:w="1178"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1.26E+05</w:t>
            </w:r>
          </w:p>
        </w:tc>
      </w:tr>
    </w:tbl>
    <w:p>
      <w:pPr>
        <w:pageBreakBefore/>
        <w:adjustRightInd w:val="0"/>
        <w:spacing w:line="360" w:lineRule="exact"/>
        <w:ind w:firstLine="0" w:firstLineChars="0"/>
        <w:jc w:val="center"/>
        <w:rPr>
          <w:rFonts w:eastAsia="黑体" w:cs="Times New Roman"/>
          <w:sz w:val="22"/>
          <w:szCs w:val="21"/>
        </w:rPr>
      </w:pPr>
      <w:r>
        <w:rPr>
          <w:rFonts w:eastAsia="黑体" w:cs="Times New Roman"/>
          <w:sz w:val="22"/>
          <w:szCs w:val="21"/>
        </w:rPr>
        <w:t>表2-5 石油烃（C10-C40）各碳段的毒性参数*</w:t>
      </w:r>
    </w:p>
    <w:tbl>
      <w:tblPr>
        <w:tblStyle w:val="18"/>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1476"/>
        <w:gridCol w:w="1270"/>
        <w:gridCol w:w="1315"/>
        <w:gridCol w:w="1333"/>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8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分段名称</w:t>
            </w:r>
          </w:p>
        </w:tc>
        <w:tc>
          <w:tcPr>
            <w:tcW w:w="14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经口摄入参考剂量mg/kg/d</w:t>
            </w:r>
          </w:p>
        </w:tc>
        <w:tc>
          <w:tcPr>
            <w:tcW w:w="127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呼吸吸入参考浓度mg/m</w:t>
            </w:r>
            <w:r>
              <w:rPr>
                <w:rFonts w:eastAsia="宋体" w:cs="Times New Roman"/>
                <w:sz w:val="18"/>
                <w:szCs w:val="18"/>
                <w:vertAlign w:val="superscript"/>
              </w:rPr>
              <w:t>3</w:t>
            </w:r>
          </w:p>
        </w:tc>
        <w:tc>
          <w:tcPr>
            <w:tcW w:w="131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参考剂量分配比例</w:t>
            </w:r>
          </w:p>
        </w:tc>
        <w:tc>
          <w:tcPr>
            <w:tcW w:w="133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消化道吸收因子</w:t>
            </w:r>
          </w:p>
        </w:tc>
        <w:tc>
          <w:tcPr>
            <w:tcW w:w="124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皮肤吸收效率因子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08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脂肪烃C</w:t>
            </w:r>
            <w:r>
              <w:rPr>
                <w:rFonts w:eastAsia="宋体" w:cs="Times New Roman"/>
                <w:sz w:val="18"/>
                <w:szCs w:val="18"/>
                <w:vertAlign w:val="subscript"/>
              </w:rPr>
              <w:t>10</w:t>
            </w:r>
            <w:r>
              <w:rPr>
                <w:rFonts w:eastAsia="宋体" w:cs="Times New Roman"/>
                <w:sz w:val="18"/>
                <w:szCs w:val="18"/>
              </w:rPr>
              <w:t>-C</w:t>
            </w:r>
            <w:r>
              <w:rPr>
                <w:rFonts w:eastAsia="宋体" w:cs="Times New Roman"/>
                <w:sz w:val="18"/>
                <w:szCs w:val="18"/>
                <w:vertAlign w:val="subscript"/>
              </w:rPr>
              <w:t>12</w:t>
            </w:r>
          </w:p>
        </w:tc>
        <w:tc>
          <w:tcPr>
            <w:tcW w:w="14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1.00E-01</w:t>
            </w:r>
          </w:p>
        </w:tc>
        <w:tc>
          <w:tcPr>
            <w:tcW w:w="127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31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33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24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08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脂肪烃C</w:t>
            </w:r>
            <w:r>
              <w:rPr>
                <w:rFonts w:eastAsia="宋体" w:cs="Times New Roman"/>
                <w:sz w:val="18"/>
                <w:szCs w:val="18"/>
                <w:vertAlign w:val="subscript"/>
              </w:rPr>
              <w:t>13</w:t>
            </w:r>
            <w:r>
              <w:rPr>
                <w:rFonts w:eastAsia="宋体" w:cs="Times New Roman"/>
                <w:sz w:val="18"/>
                <w:szCs w:val="18"/>
              </w:rPr>
              <w:t>-C</w:t>
            </w:r>
            <w:r>
              <w:rPr>
                <w:rFonts w:eastAsia="宋体" w:cs="Times New Roman"/>
                <w:sz w:val="18"/>
                <w:szCs w:val="18"/>
                <w:vertAlign w:val="subscript"/>
              </w:rPr>
              <w:t>16</w:t>
            </w:r>
          </w:p>
        </w:tc>
        <w:tc>
          <w:tcPr>
            <w:tcW w:w="14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1.00E-01</w:t>
            </w:r>
          </w:p>
        </w:tc>
        <w:tc>
          <w:tcPr>
            <w:tcW w:w="127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315" w:type="dxa"/>
            <w:vAlign w:val="center"/>
          </w:tcPr>
          <w:p>
            <w:pPr>
              <w:adjustRightInd w:val="0"/>
              <w:spacing w:line="360" w:lineRule="exact"/>
              <w:ind w:firstLine="0" w:firstLineChars="0"/>
              <w:jc w:val="center"/>
              <w:rPr>
                <w:rFonts w:eastAsia="宋体" w:cs="Times New Roman"/>
                <w:b/>
                <w:bCs/>
                <w:sz w:val="18"/>
                <w:szCs w:val="18"/>
              </w:rPr>
            </w:pPr>
            <w:r>
              <w:rPr>
                <w:rFonts w:eastAsia="宋体" w:cs="Times New Roman"/>
                <w:sz w:val="18"/>
                <w:szCs w:val="18"/>
              </w:rPr>
              <w:t>5.00E-01</w:t>
            </w:r>
          </w:p>
        </w:tc>
        <w:tc>
          <w:tcPr>
            <w:tcW w:w="133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24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08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脂肪烃C</w:t>
            </w:r>
            <w:r>
              <w:rPr>
                <w:rFonts w:eastAsia="宋体" w:cs="Times New Roman"/>
                <w:sz w:val="18"/>
                <w:szCs w:val="18"/>
                <w:vertAlign w:val="subscript"/>
              </w:rPr>
              <w:t>17</w:t>
            </w:r>
            <w:r>
              <w:rPr>
                <w:rFonts w:eastAsia="宋体" w:cs="Times New Roman"/>
                <w:sz w:val="18"/>
                <w:szCs w:val="18"/>
              </w:rPr>
              <w:t>-C</w:t>
            </w:r>
            <w:r>
              <w:rPr>
                <w:rFonts w:eastAsia="宋体" w:cs="Times New Roman"/>
                <w:sz w:val="18"/>
                <w:szCs w:val="18"/>
                <w:vertAlign w:val="subscript"/>
              </w:rPr>
              <w:t>21</w:t>
            </w:r>
          </w:p>
        </w:tc>
        <w:tc>
          <w:tcPr>
            <w:tcW w:w="14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2.00E+00</w:t>
            </w:r>
          </w:p>
        </w:tc>
        <w:tc>
          <w:tcPr>
            <w:tcW w:w="127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w:t>
            </w:r>
          </w:p>
        </w:tc>
        <w:tc>
          <w:tcPr>
            <w:tcW w:w="131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33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24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08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脂肪烃C</w:t>
            </w:r>
            <w:r>
              <w:rPr>
                <w:rFonts w:eastAsia="宋体" w:cs="Times New Roman"/>
                <w:sz w:val="18"/>
                <w:szCs w:val="18"/>
                <w:vertAlign w:val="subscript"/>
              </w:rPr>
              <w:t>22</w:t>
            </w:r>
            <w:r>
              <w:rPr>
                <w:rFonts w:eastAsia="宋体" w:cs="Times New Roman"/>
                <w:sz w:val="18"/>
                <w:szCs w:val="18"/>
              </w:rPr>
              <w:t>-C</w:t>
            </w:r>
            <w:r>
              <w:rPr>
                <w:rFonts w:eastAsia="宋体" w:cs="Times New Roman"/>
                <w:sz w:val="18"/>
                <w:szCs w:val="18"/>
                <w:vertAlign w:val="subscript"/>
              </w:rPr>
              <w:t>40</w:t>
            </w:r>
          </w:p>
        </w:tc>
        <w:tc>
          <w:tcPr>
            <w:tcW w:w="14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2.00E+00</w:t>
            </w:r>
          </w:p>
        </w:tc>
        <w:tc>
          <w:tcPr>
            <w:tcW w:w="127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w:t>
            </w:r>
          </w:p>
        </w:tc>
        <w:tc>
          <w:tcPr>
            <w:tcW w:w="131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33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24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08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芳香烃C</w:t>
            </w:r>
            <w:r>
              <w:rPr>
                <w:rFonts w:eastAsia="宋体" w:cs="Times New Roman"/>
                <w:sz w:val="18"/>
                <w:szCs w:val="18"/>
                <w:vertAlign w:val="subscript"/>
              </w:rPr>
              <w:t>10</w:t>
            </w:r>
            <w:r>
              <w:rPr>
                <w:rFonts w:eastAsia="宋体" w:cs="Times New Roman"/>
                <w:sz w:val="18"/>
                <w:szCs w:val="18"/>
              </w:rPr>
              <w:t>-C</w:t>
            </w:r>
            <w:r>
              <w:rPr>
                <w:rFonts w:eastAsia="宋体" w:cs="Times New Roman"/>
                <w:sz w:val="18"/>
                <w:szCs w:val="18"/>
                <w:vertAlign w:val="subscript"/>
              </w:rPr>
              <w:t>12</w:t>
            </w:r>
          </w:p>
        </w:tc>
        <w:tc>
          <w:tcPr>
            <w:tcW w:w="14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4.00E-02</w:t>
            </w:r>
          </w:p>
        </w:tc>
        <w:tc>
          <w:tcPr>
            <w:tcW w:w="127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2.00E-01</w:t>
            </w:r>
          </w:p>
        </w:tc>
        <w:tc>
          <w:tcPr>
            <w:tcW w:w="131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33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24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08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芳香烃C</w:t>
            </w:r>
            <w:r>
              <w:rPr>
                <w:rFonts w:eastAsia="宋体" w:cs="Times New Roman"/>
                <w:sz w:val="18"/>
                <w:szCs w:val="18"/>
                <w:vertAlign w:val="subscript"/>
              </w:rPr>
              <w:t>13</w:t>
            </w:r>
            <w:r>
              <w:rPr>
                <w:rFonts w:eastAsia="宋体" w:cs="Times New Roman"/>
                <w:sz w:val="18"/>
                <w:szCs w:val="18"/>
              </w:rPr>
              <w:t>-C</w:t>
            </w:r>
            <w:r>
              <w:rPr>
                <w:rFonts w:eastAsia="宋体" w:cs="Times New Roman"/>
                <w:sz w:val="18"/>
                <w:szCs w:val="18"/>
                <w:vertAlign w:val="subscript"/>
              </w:rPr>
              <w:t>16</w:t>
            </w:r>
          </w:p>
        </w:tc>
        <w:tc>
          <w:tcPr>
            <w:tcW w:w="14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4.00E-02</w:t>
            </w:r>
          </w:p>
        </w:tc>
        <w:tc>
          <w:tcPr>
            <w:tcW w:w="127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2.00E-01</w:t>
            </w:r>
          </w:p>
        </w:tc>
        <w:tc>
          <w:tcPr>
            <w:tcW w:w="131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33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24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08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芳香烃C</w:t>
            </w:r>
            <w:r>
              <w:rPr>
                <w:rFonts w:eastAsia="宋体" w:cs="Times New Roman"/>
                <w:sz w:val="18"/>
                <w:szCs w:val="18"/>
                <w:vertAlign w:val="subscript"/>
              </w:rPr>
              <w:t>17</w:t>
            </w:r>
            <w:r>
              <w:rPr>
                <w:rFonts w:eastAsia="宋体" w:cs="Times New Roman"/>
                <w:sz w:val="18"/>
                <w:szCs w:val="18"/>
              </w:rPr>
              <w:t>-C</w:t>
            </w:r>
            <w:r>
              <w:rPr>
                <w:rFonts w:eastAsia="宋体" w:cs="Times New Roman"/>
                <w:sz w:val="18"/>
                <w:szCs w:val="18"/>
                <w:vertAlign w:val="subscript"/>
              </w:rPr>
              <w:t>21</w:t>
            </w:r>
          </w:p>
        </w:tc>
        <w:tc>
          <w:tcPr>
            <w:tcW w:w="14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3.00E-02</w:t>
            </w:r>
          </w:p>
        </w:tc>
        <w:tc>
          <w:tcPr>
            <w:tcW w:w="127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w:t>
            </w:r>
          </w:p>
        </w:tc>
        <w:tc>
          <w:tcPr>
            <w:tcW w:w="131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33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24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08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芳香烃C</w:t>
            </w:r>
            <w:r>
              <w:rPr>
                <w:rFonts w:eastAsia="宋体" w:cs="Times New Roman"/>
                <w:sz w:val="18"/>
                <w:szCs w:val="18"/>
                <w:vertAlign w:val="subscript"/>
              </w:rPr>
              <w:t>22</w:t>
            </w:r>
            <w:r>
              <w:rPr>
                <w:rFonts w:eastAsia="宋体" w:cs="Times New Roman"/>
                <w:sz w:val="18"/>
                <w:szCs w:val="18"/>
              </w:rPr>
              <w:t>-C</w:t>
            </w:r>
            <w:r>
              <w:rPr>
                <w:rFonts w:eastAsia="宋体" w:cs="Times New Roman"/>
                <w:sz w:val="18"/>
                <w:szCs w:val="18"/>
                <w:vertAlign w:val="subscript"/>
              </w:rPr>
              <w:t>40</w:t>
            </w:r>
          </w:p>
        </w:tc>
        <w:tc>
          <w:tcPr>
            <w:tcW w:w="147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3.00E-02</w:t>
            </w:r>
          </w:p>
        </w:tc>
        <w:tc>
          <w:tcPr>
            <w:tcW w:w="1270"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w:t>
            </w:r>
          </w:p>
        </w:tc>
        <w:tc>
          <w:tcPr>
            <w:tcW w:w="1315"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333"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5.00E-01</w:t>
            </w:r>
          </w:p>
        </w:tc>
        <w:tc>
          <w:tcPr>
            <w:tcW w:w="1246" w:type="dxa"/>
            <w:vAlign w:val="center"/>
          </w:tcPr>
          <w:p>
            <w:pPr>
              <w:adjustRightInd w:val="0"/>
              <w:spacing w:line="360" w:lineRule="exact"/>
              <w:ind w:firstLine="0" w:firstLineChars="0"/>
              <w:jc w:val="center"/>
              <w:rPr>
                <w:rFonts w:eastAsia="宋体" w:cs="Times New Roman"/>
                <w:sz w:val="18"/>
                <w:szCs w:val="18"/>
              </w:rPr>
            </w:pPr>
            <w:r>
              <w:rPr>
                <w:rFonts w:eastAsia="宋体" w:cs="Times New Roman"/>
                <w:sz w:val="18"/>
                <w:szCs w:val="18"/>
              </w:rPr>
              <w:t>1.00E-01</w:t>
            </w:r>
          </w:p>
        </w:tc>
      </w:tr>
    </w:tbl>
    <w:p>
      <w:pPr>
        <w:pStyle w:val="6"/>
        <w:widowControl/>
        <w:spacing w:before="0" w:after="0" w:line="360" w:lineRule="exact"/>
        <w:ind w:firstLine="403" w:firstLineChars="0"/>
        <w:jc w:val="left"/>
        <w:textAlignment w:val="baseline"/>
        <w:rPr>
          <w:rStyle w:val="63"/>
          <w:rFonts w:ascii="Times New Roman" w:hAnsi="Times New Roman" w:eastAsia="宋体" w:cs="Times New Roman"/>
          <w:sz w:val="18"/>
          <w:szCs w:val="18"/>
        </w:rPr>
      </w:pPr>
      <w:r>
        <w:rPr>
          <w:rStyle w:val="63"/>
          <w:rFonts w:ascii="Times New Roman" w:hAnsi="Times New Roman" w:eastAsia="宋体" w:cs="Times New Roman"/>
          <w:sz w:val="18"/>
          <w:szCs w:val="18"/>
        </w:rPr>
        <w:t>*注：“/”表示无该参数。</w:t>
      </w:r>
    </w:p>
    <w:bookmarkEnd w:id="95"/>
    <w:bookmarkEnd w:id="106"/>
    <w:bookmarkEnd w:id="108"/>
    <w:bookmarkEnd w:id="109"/>
    <w:p>
      <w:pPr>
        <w:pStyle w:val="3"/>
        <w:numPr>
          <w:ilvl w:val="0"/>
          <w:numId w:val="8"/>
        </w:numPr>
        <w:spacing w:before="240" w:after="240" w:line="360" w:lineRule="exact"/>
        <w:rPr>
          <w:rFonts w:cs="Times New Roman"/>
        </w:rPr>
      </w:pPr>
      <w:bookmarkStart w:id="110" w:name="_Toc17626"/>
      <w:bookmarkStart w:id="111" w:name="_Toc27586"/>
      <w:r>
        <w:rPr>
          <w:rFonts w:cs="Times New Roman"/>
        </w:rPr>
        <w:t>风险评估模型</w:t>
      </w:r>
      <w:bookmarkEnd w:id="110"/>
      <w:bookmarkEnd w:id="111"/>
    </w:p>
    <w:p>
      <w:pPr>
        <w:pStyle w:val="62"/>
        <w:tabs>
          <w:tab w:val="center" w:pos="4201"/>
          <w:tab w:val="right" w:leader="dot" w:pos="9298"/>
        </w:tabs>
        <w:spacing w:line="360" w:lineRule="exact"/>
        <w:rPr>
          <w:rStyle w:val="63"/>
          <w:rFonts w:ascii="Times New Roman"/>
        </w:rPr>
      </w:pPr>
      <w:r>
        <w:rPr>
          <w:rStyle w:val="63"/>
          <w:rFonts w:ascii="Times New Roman"/>
        </w:rPr>
        <w:t>按照《建设用地土壤污染风险评估技术导则》（HJ 25.3）推荐的模型。</w:t>
      </w:r>
    </w:p>
    <w:p>
      <w:pPr>
        <w:pStyle w:val="62"/>
        <w:tabs>
          <w:tab w:val="center" w:pos="4201"/>
          <w:tab w:val="right" w:leader="dot" w:pos="9298"/>
        </w:tabs>
        <w:spacing w:line="360" w:lineRule="exact"/>
        <w:rPr>
          <w:rStyle w:val="63"/>
          <w:rFonts w:ascii="Times New Roman"/>
        </w:rPr>
      </w:pPr>
      <w:bookmarkStart w:id="112" w:name="_Hlk39520653"/>
      <w:r>
        <w:rPr>
          <w:rStyle w:val="63"/>
          <w:rFonts w:ascii="Times New Roman"/>
        </w:rPr>
        <w:t>在我国建设用地土壤铅污染风险评估技术导则发布前，可参考和使用美国EPA的IEUBK（计算儿童血铅浓度）模型和ALM（计算成人血铅浓度）模型开展土壤铅污染健康风险评估，我国导则发布后则执行国家导则。</w:t>
      </w:r>
    </w:p>
    <w:bookmarkEnd w:id="112"/>
    <w:p>
      <w:pPr>
        <w:pStyle w:val="3"/>
        <w:numPr>
          <w:ilvl w:val="0"/>
          <w:numId w:val="8"/>
        </w:numPr>
        <w:spacing w:before="240" w:after="240" w:line="360" w:lineRule="exact"/>
        <w:rPr>
          <w:rFonts w:cs="Times New Roman"/>
        </w:rPr>
      </w:pPr>
      <w:bookmarkStart w:id="113" w:name="_Toc30306"/>
      <w:bookmarkStart w:id="114" w:name="_Toc21586"/>
      <w:r>
        <w:rPr>
          <w:rFonts w:cs="Times New Roman"/>
        </w:rPr>
        <w:t>风险表征</w:t>
      </w:r>
      <w:bookmarkEnd w:id="113"/>
      <w:bookmarkEnd w:id="114"/>
    </w:p>
    <w:p>
      <w:pPr>
        <w:pStyle w:val="62"/>
        <w:tabs>
          <w:tab w:val="center" w:pos="4201"/>
          <w:tab w:val="right" w:leader="dot" w:pos="9298"/>
        </w:tabs>
        <w:spacing w:line="360" w:lineRule="exact"/>
        <w:rPr>
          <w:rStyle w:val="63"/>
          <w:rFonts w:ascii="Times New Roman"/>
        </w:rPr>
      </w:pPr>
      <w:r>
        <w:rPr>
          <w:rStyle w:val="63"/>
          <w:rFonts w:ascii="Times New Roman"/>
        </w:rPr>
        <w:t>计算得到的土壤/地下水中单一污染物的致癌风险超过10</w:t>
      </w:r>
      <w:r>
        <w:rPr>
          <w:rStyle w:val="63"/>
          <w:rFonts w:ascii="Times New Roman"/>
          <w:vertAlign w:val="superscript"/>
        </w:rPr>
        <w:t>-6</w:t>
      </w:r>
      <w:r>
        <w:rPr>
          <w:rStyle w:val="63"/>
          <w:rFonts w:ascii="Times New Roman"/>
        </w:rPr>
        <w:t>或非致癌危害商超过1时，则该污染物风险不可接受，其代表的地块区域应划定为不可接受的污染区域。</w:t>
      </w:r>
    </w:p>
    <w:p>
      <w:pPr>
        <w:pStyle w:val="3"/>
        <w:numPr>
          <w:ilvl w:val="0"/>
          <w:numId w:val="8"/>
        </w:numPr>
        <w:spacing w:before="240" w:after="240" w:line="360" w:lineRule="exact"/>
        <w:rPr>
          <w:rFonts w:cs="Times New Roman"/>
        </w:rPr>
      </w:pPr>
      <w:bookmarkStart w:id="115" w:name="_Toc23276"/>
      <w:bookmarkStart w:id="116" w:name="_Toc28683"/>
      <w:r>
        <w:rPr>
          <w:rFonts w:cs="Times New Roman"/>
        </w:rPr>
        <w:t>风险控制值</w:t>
      </w:r>
      <w:bookmarkEnd w:id="115"/>
      <w:bookmarkEnd w:id="116"/>
    </w:p>
    <w:p>
      <w:pPr>
        <w:pStyle w:val="62"/>
        <w:tabs>
          <w:tab w:val="center" w:pos="4201"/>
          <w:tab w:val="right" w:leader="dot" w:pos="9298"/>
        </w:tabs>
        <w:spacing w:line="360" w:lineRule="exact"/>
        <w:rPr>
          <w:rStyle w:val="63"/>
          <w:rFonts w:ascii="Times New Roman"/>
        </w:rPr>
      </w:pPr>
      <w:r>
        <w:rPr>
          <w:rStyle w:val="63"/>
          <w:rFonts w:ascii="Times New Roman"/>
        </w:rPr>
        <w:t>对于致癌风险超过10</w:t>
      </w:r>
      <w:r>
        <w:rPr>
          <w:rStyle w:val="63"/>
          <w:rFonts w:ascii="Times New Roman"/>
          <w:vertAlign w:val="superscript"/>
        </w:rPr>
        <w:t>-6</w:t>
      </w:r>
      <w:r>
        <w:rPr>
          <w:rStyle w:val="63"/>
          <w:rFonts w:ascii="Times New Roman"/>
        </w:rPr>
        <w:t>或危害商超过1的关注污染物需按照表2-6的要求计算风险控制值。土壤和地下水风险控制值是确定污染地块土壤和地下水修复目标值的主要参考值。</w:t>
      </w:r>
    </w:p>
    <w:p>
      <w:pPr>
        <w:adjustRightInd w:val="0"/>
        <w:spacing w:line="360" w:lineRule="exact"/>
        <w:ind w:firstLine="0" w:firstLineChars="0"/>
        <w:jc w:val="center"/>
        <w:rPr>
          <w:rFonts w:eastAsia="黑体" w:cs="Times New Roman"/>
          <w:sz w:val="22"/>
          <w:szCs w:val="21"/>
        </w:rPr>
      </w:pPr>
      <w:r>
        <w:rPr>
          <w:rFonts w:eastAsia="黑体" w:cs="Times New Roman"/>
          <w:sz w:val="22"/>
          <w:szCs w:val="21"/>
        </w:rPr>
        <w:t>表2-6 风险控制值的计算</w:t>
      </w:r>
    </w:p>
    <w:tbl>
      <w:tblPr>
        <w:tblStyle w:val="18"/>
        <w:tblW w:w="83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9"/>
        <w:gridCol w:w="1276"/>
        <w:gridCol w:w="4239"/>
        <w:gridCol w:w="2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859" w:type="dxa"/>
            <w:vAlign w:val="center"/>
          </w:tcPr>
          <w:p>
            <w:pPr>
              <w:pStyle w:val="35"/>
              <w:adjustRightInd w:val="0"/>
              <w:spacing w:line="360" w:lineRule="exact"/>
              <w:ind w:right="104"/>
              <w:rPr>
                <w:rFonts w:ascii="Times New Roman" w:hAnsi="Times New Roman" w:eastAsia="宋体" w:cs="Times New Roman"/>
                <w:kern w:val="2"/>
                <w:sz w:val="18"/>
                <w:szCs w:val="18"/>
                <w:lang w:eastAsia="zh-CN"/>
              </w:rPr>
            </w:pPr>
            <w:r>
              <w:rPr>
                <w:rFonts w:ascii="Times New Roman" w:hAnsi="Times New Roman" w:eastAsia="宋体" w:cs="Times New Roman"/>
                <w:kern w:val="2"/>
                <w:sz w:val="18"/>
                <w:szCs w:val="18"/>
                <w:lang w:eastAsia="zh-CN"/>
              </w:rPr>
              <w:t>序号</w:t>
            </w:r>
          </w:p>
        </w:tc>
        <w:tc>
          <w:tcPr>
            <w:tcW w:w="1276" w:type="dxa"/>
            <w:vAlign w:val="center"/>
          </w:tcPr>
          <w:p>
            <w:pPr>
              <w:pStyle w:val="35"/>
              <w:adjustRightInd w:val="0"/>
              <w:spacing w:line="360" w:lineRule="exact"/>
              <w:ind w:right="116"/>
              <w:jc w:val="center"/>
              <w:rPr>
                <w:rFonts w:ascii="Times New Roman" w:hAnsi="Times New Roman" w:eastAsia="宋体" w:cs="Times New Roman"/>
                <w:kern w:val="2"/>
                <w:sz w:val="18"/>
                <w:szCs w:val="18"/>
                <w:lang w:eastAsia="zh-CN"/>
              </w:rPr>
            </w:pPr>
            <w:r>
              <w:rPr>
                <w:rFonts w:ascii="Times New Roman" w:hAnsi="Times New Roman" w:eastAsia="宋体" w:cs="Times New Roman"/>
                <w:kern w:val="2"/>
                <w:sz w:val="18"/>
                <w:szCs w:val="18"/>
                <w:lang w:eastAsia="zh-CN"/>
              </w:rPr>
              <w:t>类型</w:t>
            </w:r>
          </w:p>
        </w:tc>
        <w:tc>
          <w:tcPr>
            <w:tcW w:w="4239" w:type="dxa"/>
            <w:vAlign w:val="bottom"/>
          </w:tcPr>
          <w:p>
            <w:pPr>
              <w:pStyle w:val="35"/>
              <w:adjustRightInd w:val="0"/>
              <w:spacing w:line="360" w:lineRule="exact"/>
              <w:ind w:right="1690"/>
              <w:jc w:val="center"/>
              <w:rPr>
                <w:rFonts w:ascii="Times New Roman" w:hAnsi="Times New Roman" w:eastAsia="宋体" w:cs="Times New Roman"/>
                <w:kern w:val="2"/>
                <w:sz w:val="18"/>
                <w:szCs w:val="18"/>
                <w:lang w:eastAsia="zh-CN"/>
              </w:rPr>
            </w:pPr>
            <w:r>
              <w:rPr>
                <w:rFonts w:ascii="Times New Roman" w:hAnsi="Times New Roman" w:eastAsia="宋体" w:cs="Times New Roman"/>
                <w:kern w:val="2"/>
                <w:sz w:val="18"/>
                <w:szCs w:val="18"/>
                <w:lang w:eastAsia="zh-CN"/>
              </w:rPr>
              <w:t xml:space="preserve">            计算内容</w:t>
            </w:r>
          </w:p>
          <w:p>
            <w:pPr>
              <w:pStyle w:val="35"/>
              <w:adjustRightInd w:val="0"/>
              <w:spacing w:line="360" w:lineRule="exact"/>
              <w:ind w:right="1690"/>
              <w:jc w:val="center"/>
              <w:rPr>
                <w:rFonts w:ascii="Times New Roman" w:hAnsi="Times New Roman" w:eastAsia="宋体" w:cs="Times New Roman"/>
                <w:kern w:val="2"/>
                <w:sz w:val="18"/>
                <w:szCs w:val="18"/>
                <w:lang w:eastAsia="zh-CN"/>
              </w:rPr>
            </w:pPr>
          </w:p>
        </w:tc>
        <w:tc>
          <w:tcPr>
            <w:tcW w:w="2000" w:type="dxa"/>
            <w:vAlign w:val="center"/>
          </w:tcPr>
          <w:p>
            <w:pPr>
              <w:pStyle w:val="35"/>
              <w:adjustRightInd w:val="0"/>
              <w:spacing w:line="360" w:lineRule="exact"/>
              <w:jc w:val="center"/>
              <w:rPr>
                <w:rFonts w:ascii="Times New Roman" w:hAnsi="Times New Roman" w:eastAsia="宋体" w:cs="Times New Roman"/>
                <w:kern w:val="2"/>
                <w:sz w:val="18"/>
                <w:szCs w:val="18"/>
                <w:lang w:eastAsia="zh-CN"/>
              </w:rPr>
            </w:pPr>
            <w:r>
              <w:rPr>
                <w:rFonts w:ascii="Times New Roman" w:hAnsi="Times New Roman" w:eastAsia="宋体" w:cs="Times New Roman"/>
                <w:kern w:val="2"/>
                <w:sz w:val="18"/>
                <w:szCs w:val="18"/>
                <w:lang w:eastAsia="zh-CN"/>
              </w:rPr>
              <w:t>取值方法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859" w:type="dxa"/>
          </w:tcPr>
          <w:p>
            <w:pPr>
              <w:pStyle w:val="35"/>
              <w:adjustRightInd w:val="0"/>
              <w:spacing w:before="18" w:line="360" w:lineRule="exact"/>
              <w:ind w:right="1"/>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276" w:type="dxa"/>
            <w:vMerge w:val="restart"/>
          </w:tcPr>
          <w:p>
            <w:pPr>
              <w:pStyle w:val="35"/>
              <w:adjustRightInd w:val="0"/>
              <w:spacing w:before="158" w:line="360" w:lineRule="exact"/>
              <w:ind w:right="116"/>
              <w:jc w:val="center"/>
              <w:rPr>
                <w:rFonts w:ascii="Times New Roman" w:hAnsi="Times New Roman" w:eastAsia="宋体" w:cs="Times New Roman"/>
                <w:sz w:val="18"/>
                <w:szCs w:val="18"/>
              </w:rPr>
            </w:pPr>
            <w:r>
              <w:rPr>
                <w:rFonts w:ascii="Times New Roman" w:hAnsi="Times New Roman" w:eastAsia="宋体" w:cs="Times New Roman"/>
                <w:sz w:val="18"/>
                <w:szCs w:val="18"/>
              </w:rPr>
              <w:t>土壤风险控制值</w:t>
            </w:r>
          </w:p>
        </w:tc>
        <w:tc>
          <w:tcPr>
            <w:tcW w:w="4239" w:type="dxa"/>
            <w:vAlign w:val="center"/>
          </w:tcPr>
          <w:p>
            <w:pPr>
              <w:pStyle w:val="35"/>
              <w:adjustRightInd w:val="0"/>
              <w:spacing w:line="36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基于致癌效应的土壤风险控制值</w:t>
            </w:r>
          </w:p>
        </w:tc>
        <w:tc>
          <w:tcPr>
            <w:tcW w:w="2000" w:type="dxa"/>
            <w:vMerge w:val="restart"/>
          </w:tcPr>
          <w:p>
            <w:pPr>
              <w:pStyle w:val="35"/>
              <w:adjustRightInd w:val="0"/>
              <w:spacing w:before="158" w:line="36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取最小值作为土壤风险控制值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859" w:type="dxa"/>
          </w:tcPr>
          <w:p>
            <w:pPr>
              <w:pStyle w:val="35"/>
              <w:adjustRightInd w:val="0"/>
              <w:spacing w:before="17" w:line="360" w:lineRule="exact"/>
              <w:ind w:right="1"/>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276" w:type="dxa"/>
            <w:vMerge w:val="continue"/>
          </w:tcPr>
          <w:p>
            <w:pPr>
              <w:adjustRightInd w:val="0"/>
              <w:spacing w:line="360" w:lineRule="exact"/>
              <w:ind w:firstLine="360"/>
              <w:jc w:val="center"/>
              <w:rPr>
                <w:rFonts w:eastAsia="宋体" w:cs="Times New Roman"/>
                <w:sz w:val="18"/>
                <w:szCs w:val="18"/>
              </w:rPr>
            </w:pPr>
          </w:p>
        </w:tc>
        <w:tc>
          <w:tcPr>
            <w:tcW w:w="4239" w:type="dxa"/>
            <w:vAlign w:val="center"/>
          </w:tcPr>
          <w:p>
            <w:pPr>
              <w:pStyle w:val="35"/>
              <w:adjustRightInd w:val="0"/>
              <w:spacing w:line="36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基于非致癌效应的土壤风险控制值</w:t>
            </w:r>
          </w:p>
        </w:tc>
        <w:tc>
          <w:tcPr>
            <w:tcW w:w="2000" w:type="dxa"/>
            <w:vMerge w:val="continue"/>
          </w:tcPr>
          <w:p>
            <w:pPr>
              <w:adjustRightInd w:val="0"/>
              <w:spacing w:line="360" w:lineRule="exact"/>
              <w:ind w:firstLine="360"/>
              <w:jc w:val="center"/>
              <w:rPr>
                <w:rFonts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859" w:type="dxa"/>
          </w:tcPr>
          <w:p>
            <w:pPr>
              <w:pStyle w:val="35"/>
              <w:adjustRightInd w:val="0"/>
              <w:spacing w:before="17" w:line="360" w:lineRule="exact"/>
              <w:ind w:right="1"/>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276" w:type="dxa"/>
            <w:vMerge w:val="continue"/>
          </w:tcPr>
          <w:p>
            <w:pPr>
              <w:adjustRightInd w:val="0"/>
              <w:spacing w:line="360" w:lineRule="exact"/>
              <w:ind w:firstLine="360"/>
              <w:jc w:val="center"/>
              <w:rPr>
                <w:rFonts w:eastAsia="宋体" w:cs="Times New Roman"/>
                <w:sz w:val="18"/>
                <w:szCs w:val="18"/>
              </w:rPr>
            </w:pPr>
          </w:p>
        </w:tc>
        <w:tc>
          <w:tcPr>
            <w:tcW w:w="4239" w:type="dxa"/>
            <w:vAlign w:val="center"/>
          </w:tcPr>
          <w:p>
            <w:pPr>
              <w:pStyle w:val="35"/>
              <w:adjustRightInd w:val="0"/>
              <w:spacing w:line="36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基于保护地下水的土壤风险控制值</w:t>
            </w:r>
          </w:p>
        </w:tc>
        <w:tc>
          <w:tcPr>
            <w:tcW w:w="2000" w:type="dxa"/>
            <w:vMerge w:val="continue"/>
          </w:tcPr>
          <w:p>
            <w:pPr>
              <w:adjustRightInd w:val="0"/>
              <w:spacing w:line="360" w:lineRule="exact"/>
              <w:ind w:firstLine="360"/>
              <w:jc w:val="center"/>
              <w:rPr>
                <w:rFonts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859" w:type="dxa"/>
          </w:tcPr>
          <w:p>
            <w:pPr>
              <w:pStyle w:val="35"/>
              <w:adjustRightInd w:val="0"/>
              <w:spacing w:before="18" w:line="360" w:lineRule="exact"/>
              <w:ind w:right="1"/>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276" w:type="dxa"/>
            <w:vMerge w:val="restart"/>
            <w:vAlign w:val="center"/>
          </w:tcPr>
          <w:p>
            <w:pPr>
              <w:pStyle w:val="35"/>
              <w:adjustRightInd w:val="0"/>
              <w:spacing w:line="360" w:lineRule="exact"/>
              <w:ind w:right="113"/>
              <w:jc w:val="center"/>
              <w:rPr>
                <w:rFonts w:ascii="Times New Roman" w:hAnsi="Times New Roman" w:eastAsia="宋体" w:cs="Times New Roman"/>
                <w:sz w:val="18"/>
                <w:szCs w:val="18"/>
              </w:rPr>
            </w:pPr>
            <w:r>
              <w:rPr>
                <w:rFonts w:ascii="Times New Roman" w:hAnsi="Times New Roman" w:eastAsia="宋体" w:cs="Times New Roman"/>
                <w:sz w:val="18"/>
                <w:szCs w:val="18"/>
              </w:rPr>
              <w:t>地下水</w:t>
            </w:r>
          </w:p>
          <w:p>
            <w:pPr>
              <w:pStyle w:val="35"/>
              <w:adjustRightInd w:val="0"/>
              <w:spacing w:line="360" w:lineRule="exact"/>
              <w:ind w:right="113"/>
              <w:jc w:val="center"/>
              <w:rPr>
                <w:rFonts w:ascii="Times New Roman" w:hAnsi="Times New Roman" w:eastAsia="宋体" w:cs="Times New Roman"/>
                <w:sz w:val="18"/>
                <w:szCs w:val="18"/>
              </w:rPr>
            </w:pPr>
            <w:r>
              <w:rPr>
                <w:rFonts w:ascii="Times New Roman" w:hAnsi="Times New Roman" w:eastAsia="宋体" w:cs="Times New Roman"/>
                <w:sz w:val="18"/>
                <w:szCs w:val="18"/>
              </w:rPr>
              <w:t>风险控值</w:t>
            </w:r>
          </w:p>
        </w:tc>
        <w:tc>
          <w:tcPr>
            <w:tcW w:w="4239" w:type="dxa"/>
            <w:vAlign w:val="center"/>
          </w:tcPr>
          <w:p>
            <w:pPr>
              <w:pStyle w:val="35"/>
              <w:adjustRightInd w:val="0"/>
              <w:spacing w:line="36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基于致癌效应的地下水风险控制值</w:t>
            </w:r>
          </w:p>
        </w:tc>
        <w:tc>
          <w:tcPr>
            <w:tcW w:w="2000" w:type="dxa"/>
            <w:vMerge w:val="restart"/>
          </w:tcPr>
          <w:p>
            <w:pPr>
              <w:pStyle w:val="35"/>
              <w:adjustRightInd w:val="0"/>
              <w:spacing w:before="158" w:line="36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取最小值作为地下水风险控制值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859" w:type="dxa"/>
          </w:tcPr>
          <w:p>
            <w:pPr>
              <w:pStyle w:val="35"/>
              <w:adjustRightInd w:val="0"/>
              <w:spacing w:before="17" w:line="360" w:lineRule="exact"/>
              <w:ind w:right="1"/>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1276" w:type="dxa"/>
            <w:vMerge w:val="continue"/>
          </w:tcPr>
          <w:p>
            <w:pPr>
              <w:adjustRightInd w:val="0"/>
              <w:spacing w:line="360" w:lineRule="exact"/>
              <w:ind w:firstLine="360"/>
              <w:jc w:val="center"/>
              <w:rPr>
                <w:rFonts w:eastAsia="宋体" w:cs="Times New Roman"/>
                <w:sz w:val="18"/>
                <w:szCs w:val="18"/>
              </w:rPr>
            </w:pPr>
          </w:p>
        </w:tc>
        <w:tc>
          <w:tcPr>
            <w:tcW w:w="4239" w:type="dxa"/>
            <w:vAlign w:val="center"/>
          </w:tcPr>
          <w:p>
            <w:pPr>
              <w:pStyle w:val="35"/>
              <w:adjustRightInd w:val="0"/>
              <w:spacing w:line="36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基于非致癌效应的地下水风险控制值</w:t>
            </w:r>
          </w:p>
        </w:tc>
        <w:tc>
          <w:tcPr>
            <w:tcW w:w="2000" w:type="dxa"/>
            <w:vMerge w:val="continue"/>
          </w:tcPr>
          <w:p>
            <w:pPr>
              <w:adjustRightInd w:val="0"/>
              <w:spacing w:line="360" w:lineRule="exact"/>
              <w:ind w:firstLine="360"/>
              <w:jc w:val="center"/>
              <w:rPr>
                <w:rFonts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859" w:type="dxa"/>
          </w:tcPr>
          <w:p>
            <w:pPr>
              <w:pStyle w:val="35"/>
              <w:adjustRightInd w:val="0"/>
              <w:spacing w:before="17" w:line="360" w:lineRule="exact"/>
              <w:ind w:right="1"/>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276" w:type="dxa"/>
            <w:vMerge w:val="continue"/>
          </w:tcPr>
          <w:p>
            <w:pPr>
              <w:adjustRightInd w:val="0"/>
              <w:spacing w:line="360" w:lineRule="exact"/>
              <w:ind w:firstLine="360"/>
              <w:jc w:val="center"/>
              <w:rPr>
                <w:rFonts w:eastAsia="宋体" w:cs="Times New Roman"/>
                <w:sz w:val="18"/>
                <w:szCs w:val="18"/>
              </w:rPr>
            </w:pPr>
          </w:p>
        </w:tc>
        <w:tc>
          <w:tcPr>
            <w:tcW w:w="4239" w:type="dxa"/>
            <w:vAlign w:val="center"/>
          </w:tcPr>
          <w:p>
            <w:pPr>
              <w:pStyle w:val="35"/>
              <w:adjustRightInd w:val="0"/>
              <w:spacing w:line="360" w:lineRule="exact"/>
              <w:jc w:val="center"/>
              <w:rPr>
                <w:rFonts w:ascii="Times New Roman" w:hAnsi="Times New Roman" w:eastAsia="宋体" w:cs="Times New Roman"/>
                <w:sz w:val="18"/>
                <w:szCs w:val="18"/>
                <w:lang w:eastAsia="zh-CN"/>
              </w:rPr>
            </w:pPr>
            <w:r>
              <w:rPr>
                <w:rFonts w:ascii="Times New Roman" w:hAnsi="Times New Roman" w:eastAsia="宋体" w:cs="Times New Roman"/>
                <w:sz w:val="18"/>
                <w:szCs w:val="18"/>
                <w:lang w:eastAsia="zh-CN"/>
              </w:rPr>
              <w:t>基于保护周边水体的地下水风险控制值</w:t>
            </w:r>
          </w:p>
        </w:tc>
        <w:tc>
          <w:tcPr>
            <w:tcW w:w="2000" w:type="dxa"/>
            <w:vMerge w:val="continue"/>
          </w:tcPr>
          <w:p>
            <w:pPr>
              <w:adjustRightInd w:val="0"/>
              <w:spacing w:line="360" w:lineRule="exact"/>
              <w:ind w:firstLine="360"/>
              <w:jc w:val="center"/>
              <w:rPr>
                <w:rFonts w:eastAsia="宋体" w:cs="Times New Roman"/>
                <w:sz w:val="18"/>
                <w:szCs w:val="18"/>
              </w:rPr>
            </w:pPr>
          </w:p>
        </w:tc>
      </w:tr>
    </w:tbl>
    <w:p>
      <w:pPr>
        <w:pStyle w:val="3"/>
        <w:numPr>
          <w:ilvl w:val="1"/>
          <w:numId w:val="8"/>
        </w:numPr>
        <w:spacing w:before="120" w:after="120" w:line="360" w:lineRule="exact"/>
        <w:rPr>
          <w:rFonts w:cs="Times New Roman"/>
        </w:rPr>
      </w:pPr>
      <w:bookmarkStart w:id="117" w:name="_Toc23107"/>
      <w:bookmarkStart w:id="118" w:name="_Hlk42778210"/>
      <w:bookmarkStart w:id="119" w:name="_Toc20016"/>
      <w:bookmarkStart w:id="120" w:name="_Hlk43022471"/>
      <w:bookmarkStart w:id="121" w:name="_Hlk42853405"/>
      <w:r>
        <w:rPr>
          <w:rFonts w:cs="Times New Roman"/>
        </w:rPr>
        <w:t>检出污染物在饮用水相关标准内</w:t>
      </w:r>
      <w:bookmarkEnd w:id="117"/>
      <w:bookmarkEnd w:id="118"/>
      <w:bookmarkEnd w:id="119"/>
    </w:p>
    <w:p>
      <w:pPr>
        <w:pStyle w:val="62"/>
        <w:tabs>
          <w:tab w:val="center" w:pos="4201"/>
          <w:tab w:val="right" w:leader="dot" w:pos="9298"/>
        </w:tabs>
        <w:spacing w:line="360" w:lineRule="exact"/>
        <w:rPr>
          <w:rStyle w:val="63"/>
          <w:rFonts w:ascii="Times New Roman"/>
        </w:rPr>
      </w:pPr>
      <w:r>
        <w:rPr>
          <w:rStyle w:val="63"/>
          <w:rFonts w:ascii="Times New Roman"/>
        </w:rPr>
        <w:t>若污染地块地下水涉及地下水饮用水源（在用、备用、应急、规划水源）补给径流区和保护区，地下水可不开展地下水污染健康风险评估工作，而应基于《地下水质量标准》（GB/T 14848）中的Ⅲ类标准或《生活饮用水卫生标准》（GB 5749）等标准值</w:t>
      </w:r>
      <w:r>
        <w:rPr>
          <w:rStyle w:val="63"/>
          <w:rFonts w:hint="eastAsia" w:ascii="Times New Roman"/>
        </w:rPr>
        <w:t>选取</w:t>
      </w:r>
      <w:r>
        <w:rPr>
          <w:rStyle w:val="63"/>
          <w:rFonts w:ascii="Times New Roman"/>
        </w:rPr>
        <w:t>风险控制值。</w:t>
      </w:r>
    </w:p>
    <w:p>
      <w:pPr>
        <w:pStyle w:val="62"/>
        <w:tabs>
          <w:tab w:val="center" w:pos="4201"/>
          <w:tab w:val="right" w:leader="dot" w:pos="9298"/>
        </w:tabs>
        <w:spacing w:line="360" w:lineRule="exact"/>
        <w:rPr>
          <w:rStyle w:val="63"/>
          <w:rFonts w:ascii="Times New Roman"/>
        </w:rPr>
      </w:pPr>
      <w:r>
        <w:rPr>
          <w:rStyle w:val="63"/>
          <w:rFonts w:ascii="Times New Roman"/>
        </w:rPr>
        <w:t>若不涉及地下水饮用水源（在用、备用、应急、规划水源）和补给径流区、保护区，当污染物浓度超过《地下水质量标准》（GB/T 14848）Ⅳ类标准等相关标准时，应根据HJ 25.3 相关要求计算地下水的风险控制值。当计算得到的风险控制值低于IV类标准等相关标准时，可采用标准值作为风险控制值。</w:t>
      </w:r>
    </w:p>
    <w:p>
      <w:pPr>
        <w:pStyle w:val="3"/>
        <w:numPr>
          <w:ilvl w:val="1"/>
          <w:numId w:val="8"/>
        </w:numPr>
        <w:spacing w:before="120" w:after="120" w:line="360" w:lineRule="exact"/>
        <w:rPr>
          <w:rFonts w:cs="Times New Roman"/>
        </w:rPr>
      </w:pPr>
      <w:bookmarkStart w:id="122" w:name="_Toc12482"/>
      <w:bookmarkStart w:id="123" w:name="_Toc26317"/>
      <w:r>
        <w:rPr>
          <w:rFonts w:cs="Times New Roman"/>
        </w:rPr>
        <w:t>检出污染物不在饮用水相关标准内</w:t>
      </w:r>
      <w:bookmarkEnd w:id="122"/>
      <w:bookmarkEnd w:id="123"/>
    </w:p>
    <w:p>
      <w:pPr>
        <w:pStyle w:val="62"/>
        <w:tabs>
          <w:tab w:val="center" w:pos="4201"/>
          <w:tab w:val="right" w:leader="dot" w:pos="9298"/>
        </w:tabs>
        <w:spacing w:line="360" w:lineRule="exact"/>
        <w:rPr>
          <w:rStyle w:val="63"/>
          <w:rFonts w:ascii="Times New Roman"/>
        </w:rPr>
      </w:pPr>
      <w:r>
        <w:rPr>
          <w:rStyle w:val="63"/>
          <w:rFonts w:ascii="Times New Roman"/>
        </w:rPr>
        <w:t>标准中未列出的污染物检出时，应根据HJ25.3相关要求计算地下水的风险控制值。</w:t>
      </w:r>
    </w:p>
    <w:bookmarkEnd w:id="120"/>
    <w:bookmarkEnd w:id="121"/>
    <w:p>
      <w:pPr>
        <w:pStyle w:val="3"/>
        <w:numPr>
          <w:ilvl w:val="0"/>
          <w:numId w:val="8"/>
        </w:numPr>
        <w:spacing w:before="240" w:after="240" w:line="360" w:lineRule="exact"/>
        <w:rPr>
          <w:rFonts w:cs="Times New Roman"/>
        </w:rPr>
      </w:pPr>
      <w:bookmarkStart w:id="124" w:name="_Toc11570"/>
      <w:bookmarkStart w:id="125" w:name="_Toc7993"/>
      <w:r>
        <w:rPr>
          <w:rFonts w:cs="Times New Roman"/>
        </w:rPr>
        <w:t>风险管控和修复目标与范围</w:t>
      </w:r>
      <w:bookmarkEnd w:id="124"/>
      <w:bookmarkEnd w:id="125"/>
    </w:p>
    <w:p>
      <w:pPr>
        <w:pStyle w:val="3"/>
        <w:numPr>
          <w:ilvl w:val="1"/>
          <w:numId w:val="8"/>
        </w:numPr>
        <w:spacing w:before="120" w:after="120" w:line="360" w:lineRule="exact"/>
        <w:rPr>
          <w:rFonts w:cs="Times New Roman"/>
        </w:rPr>
      </w:pPr>
      <w:r>
        <w:rPr>
          <w:rFonts w:cs="Times New Roman"/>
        </w:rPr>
        <w:t xml:space="preserve"> </w:t>
      </w:r>
      <w:bookmarkStart w:id="126" w:name="_Toc13035"/>
      <w:bookmarkStart w:id="127" w:name="_Toc10690"/>
      <w:r>
        <w:rPr>
          <w:rFonts w:cs="Times New Roman"/>
        </w:rPr>
        <w:t>土壤风险管控</w:t>
      </w:r>
      <w:r>
        <w:rPr>
          <w:rFonts w:hint="eastAsia" w:cs="Times New Roman"/>
        </w:rPr>
        <w:t>和</w:t>
      </w:r>
      <w:r>
        <w:rPr>
          <w:rFonts w:cs="Times New Roman"/>
        </w:rPr>
        <w:t>修复目标值</w:t>
      </w:r>
      <w:bookmarkEnd w:id="126"/>
      <w:bookmarkEnd w:id="127"/>
    </w:p>
    <w:p>
      <w:pPr>
        <w:pStyle w:val="62"/>
        <w:tabs>
          <w:tab w:val="center" w:pos="4201"/>
          <w:tab w:val="right" w:leader="dot" w:pos="9298"/>
        </w:tabs>
        <w:spacing w:line="360" w:lineRule="exact"/>
        <w:rPr>
          <w:rStyle w:val="63"/>
          <w:rFonts w:ascii="Times New Roman"/>
        </w:rPr>
      </w:pPr>
      <w:r>
        <w:rPr>
          <w:rStyle w:val="63"/>
          <w:rFonts w:ascii="Times New Roman"/>
        </w:rPr>
        <w:t>原则上用风险控制值作为修复目标值，但应小于GB 36600风险管制值；风险控制值低于筛选值的，可采用筛选值作为修复目标值。</w:t>
      </w:r>
    </w:p>
    <w:p>
      <w:pPr>
        <w:pStyle w:val="62"/>
        <w:tabs>
          <w:tab w:val="center" w:pos="4201"/>
          <w:tab w:val="right" w:leader="dot" w:pos="9298"/>
        </w:tabs>
        <w:spacing w:line="360" w:lineRule="exact"/>
        <w:rPr>
          <w:rStyle w:val="63"/>
          <w:rFonts w:ascii="Times New Roman"/>
        </w:rPr>
      </w:pPr>
      <w:r>
        <w:rPr>
          <w:rStyle w:val="63"/>
          <w:rFonts w:ascii="Times New Roman"/>
        </w:rPr>
        <w:t>如地块所在区域背景值高于筛选值或风险控制值的，可选取背景值作为修复目标值。</w:t>
      </w:r>
    </w:p>
    <w:p>
      <w:pPr>
        <w:pStyle w:val="3"/>
        <w:numPr>
          <w:ilvl w:val="1"/>
          <w:numId w:val="8"/>
        </w:numPr>
        <w:spacing w:before="120" w:after="120" w:line="360" w:lineRule="exact"/>
        <w:rPr>
          <w:rFonts w:cs="Times New Roman"/>
        </w:rPr>
      </w:pPr>
      <w:r>
        <w:rPr>
          <w:rFonts w:cs="Times New Roman"/>
        </w:rPr>
        <w:t xml:space="preserve"> </w:t>
      </w:r>
      <w:bookmarkStart w:id="128" w:name="_Toc32525"/>
      <w:bookmarkStart w:id="129" w:name="_Toc54"/>
      <w:r>
        <w:rPr>
          <w:rFonts w:cs="Times New Roman"/>
        </w:rPr>
        <w:t>地下水风险管控</w:t>
      </w:r>
      <w:r>
        <w:rPr>
          <w:rFonts w:hint="eastAsia" w:cs="Times New Roman"/>
        </w:rPr>
        <w:t>和</w:t>
      </w:r>
      <w:r>
        <w:rPr>
          <w:rFonts w:cs="Times New Roman"/>
        </w:rPr>
        <w:t>修复目标值</w:t>
      </w:r>
      <w:bookmarkEnd w:id="128"/>
      <w:bookmarkEnd w:id="129"/>
    </w:p>
    <w:p>
      <w:pPr>
        <w:pStyle w:val="62"/>
        <w:tabs>
          <w:tab w:val="center" w:pos="4201"/>
          <w:tab w:val="right" w:leader="dot" w:pos="9298"/>
        </w:tabs>
        <w:spacing w:line="360" w:lineRule="exact"/>
        <w:rPr>
          <w:rStyle w:val="63"/>
          <w:rFonts w:ascii="Times New Roman"/>
        </w:rPr>
      </w:pPr>
      <w:r>
        <w:rPr>
          <w:rStyle w:val="63"/>
          <w:rFonts w:ascii="Times New Roman"/>
        </w:rPr>
        <w:t>参照HJ25.6</w:t>
      </w:r>
      <w:r>
        <w:rPr>
          <w:rStyle w:val="63"/>
          <w:rFonts w:hint="eastAsia" w:ascii="Times New Roman"/>
        </w:rPr>
        <w:t>，针对</w:t>
      </w:r>
      <w:r>
        <w:rPr>
          <w:rStyle w:val="63"/>
          <w:rFonts w:ascii="Times New Roman"/>
        </w:rPr>
        <w:t>污染地块位于地下水型饮用水源保护区及补给区</w:t>
      </w:r>
      <w:r>
        <w:rPr>
          <w:rStyle w:val="63"/>
          <w:rFonts w:hint="eastAsia" w:ascii="Times New Roman"/>
        </w:rPr>
        <w:t>或</w:t>
      </w:r>
      <w:r>
        <w:rPr>
          <w:rStyle w:val="63"/>
          <w:rFonts w:ascii="Times New Roman"/>
        </w:rPr>
        <w:t>其他区域</w:t>
      </w:r>
      <w:r>
        <w:rPr>
          <w:rStyle w:val="63"/>
          <w:rFonts w:hint="eastAsia" w:ascii="Times New Roman"/>
        </w:rPr>
        <w:t>的情况，</w:t>
      </w:r>
      <w:r>
        <w:rPr>
          <w:rStyle w:val="63"/>
          <w:rFonts w:ascii="Times New Roman"/>
        </w:rPr>
        <w:t>确定风险管控</w:t>
      </w:r>
      <w:r>
        <w:rPr>
          <w:rStyle w:val="63"/>
          <w:rFonts w:hint="eastAsia" w:ascii="Times New Roman"/>
        </w:rPr>
        <w:t>和</w:t>
      </w:r>
      <w:r>
        <w:rPr>
          <w:rStyle w:val="63"/>
          <w:rFonts w:ascii="Times New Roman"/>
        </w:rPr>
        <w:t>修复目标值。</w:t>
      </w:r>
    </w:p>
    <w:p>
      <w:pPr>
        <w:pStyle w:val="62"/>
        <w:tabs>
          <w:tab w:val="center" w:pos="4201"/>
          <w:tab w:val="right" w:leader="dot" w:pos="9298"/>
        </w:tabs>
        <w:spacing w:line="360" w:lineRule="exact"/>
        <w:rPr>
          <w:rStyle w:val="63"/>
          <w:rFonts w:ascii="Times New Roman"/>
        </w:rPr>
      </w:pPr>
      <w:r>
        <w:rPr>
          <w:rStyle w:val="63"/>
          <w:rFonts w:ascii="Times New Roman"/>
        </w:rPr>
        <w:t>当选择相关标准或风险评估计算出的风险控制值低于背景值的，可选择背景值作为修复目标值。</w:t>
      </w:r>
    </w:p>
    <w:p>
      <w:pPr>
        <w:pStyle w:val="3"/>
        <w:numPr>
          <w:ilvl w:val="1"/>
          <w:numId w:val="8"/>
        </w:numPr>
        <w:spacing w:before="120" w:after="120" w:line="360" w:lineRule="exact"/>
        <w:rPr>
          <w:rFonts w:cs="Times New Roman"/>
        </w:rPr>
      </w:pPr>
      <w:bookmarkStart w:id="130" w:name="_Toc353"/>
      <w:bookmarkStart w:id="131" w:name="_Toc31850"/>
      <w:r>
        <w:rPr>
          <w:rFonts w:cs="Times New Roman"/>
        </w:rPr>
        <w:t>风险管控</w:t>
      </w:r>
      <w:r>
        <w:rPr>
          <w:rFonts w:hint="eastAsia" w:cs="Times New Roman"/>
        </w:rPr>
        <w:t>和</w:t>
      </w:r>
      <w:r>
        <w:rPr>
          <w:rFonts w:cs="Times New Roman"/>
        </w:rPr>
        <w:t>修复范围</w:t>
      </w:r>
      <w:bookmarkEnd w:id="130"/>
      <w:bookmarkEnd w:id="131"/>
    </w:p>
    <w:p>
      <w:pPr>
        <w:pStyle w:val="62"/>
        <w:tabs>
          <w:tab w:val="center" w:pos="4201"/>
          <w:tab w:val="right" w:leader="dot" w:pos="9298"/>
        </w:tabs>
        <w:spacing w:line="360" w:lineRule="exact"/>
        <w:rPr>
          <w:rStyle w:val="63"/>
          <w:rFonts w:ascii="Times New Roman"/>
        </w:rPr>
      </w:pPr>
      <w:bookmarkStart w:id="132" w:name="_Hlk38354869"/>
      <w:r>
        <w:rPr>
          <w:rStyle w:val="63"/>
          <w:rFonts w:ascii="Times New Roman"/>
        </w:rPr>
        <w:t>风险管控</w:t>
      </w:r>
      <w:r>
        <w:rPr>
          <w:rStyle w:val="63"/>
          <w:rFonts w:hint="eastAsia" w:ascii="Times New Roman"/>
        </w:rPr>
        <w:t>和</w:t>
      </w:r>
      <w:r>
        <w:rPr>
          <w:rStyle w:val="63"/>
          <w:rFonts w:ascii="Times New Roman"/>
        </w:rPr>
        <w:t>修复范围可采用无污染点位连线法或污染物浓度插值计算法进行确定，优先采用无污染点位连线法，确需采用插值计算法的，需在加密布点的基础上进行，采用合理的参数和规范的方法并进行详细的说明。</w:t>
      </w:r>
    </w:p>
    <w:p>
      <w:pPr>
        <w:pStyle w:val="62"/>
        <w:tabs>
          <w:tab w:val="center" w:pos="4201"/>
          <w:tab w:val="right" w:leader="dot" w:pos="9298"/>
        </w:tabs>
        <w:spacing w:line="360" w:lineRule="exact"/>
        <w:rPr>
          <w:rStyle w:val="63"/>
          <w:rFonts w:ascii="Times New Roman"/>
        </w:rPr>
      </w:pPr>
      <w:r>
        <w:rPr>
          <w:rStyle w:val="63"/>
          <w:rFonts w:ascii="Times New Roman"/>
        </w:rPr>
        <w:t>若风险管控</w:t>
      </w:r>
      <w:r>
        <w:rPr>
          <w:rStyle w:val="63"/>
          <w:rFonts w:hint="eastAsia" w:ascii="Times New Roman"/>
        </w:rPr>
        <w:t>和</w:t>
      </w:r>
      <w:r>
        <w:rPr>
          <w:rStyle w:val="63"/>
          <w:rFonts w:ascii="Times New Roman"/>
        </w:rPr>
        <w:t>修复范围不能完全反映地块实际情况，可结合监测点位置、生产设施布局、修复施工可行性及污染物的迁移转化规律对风险管控</w:t>
      </w:r>
      <w:r>
        <w:rPr>
          <w:rStyle w:val="63"/>
          <w:rFonts w:hint="eastAsia" w:ascii="Times New Roman"/>
        </w:rPr>
        <w:t>和</w:t>
      </w:r>
      <w:r>
        <w:rPr>
          <w:rStyle w:val="63"/>
          <w:rFonts w:ascii="Times New Roman"/>
        </w:rPr>
        <w:t>修复范围进行截弯取直。若风险管控</w:t>
      </w:r>
      <w:r>
        <w:rPr>
          <w:rStyle w:val="63"/>
          <w:rFonts w:hint="eastAsia" w:ascii="Times New Roman"/>
        </w:rPr>
        <w:t>和</w:t>
      </w:r>
      <w:r>
        <w:rPr>
          <w:rStyle w:val="63"/>
          <w:rFonts w:ascii="Times New Roman"/>
        </w:rPr>
        <w:t>修复范围在地块边界附近，且边界无控制点，则以地块边界进行范围确定。</w:t>
      </w:r>
    </w:p>
    <w:p>
      <w:pPr>
        <w:pStyle w:val="62"/>
        <w:tabs>
          <w:tab w:val="center" w:pos="4201"/>
          <w:tab w:val="right" w:leader="dot" w:pos="9298"/>
        </w:tabs>
        <w:spacing w:line="360" w:lineRule="exact"/>
        <w:rPr>
          <w:rStyle w:val="63"/>
          <w:rFonts w:ascii="Times New Roman"/>
        </w:rPr>
      </w:pPr>
      <w:r>
        <w:rPr>
          <w:rStyle w:val="63"/>
          <w:rFonts w:ascii="Times New Roman"/>
        </w:rPr>
        <w:t>风险管控</w:t>
      </w:r>
      <w:r>
        <w:rPr>
          <w:rStyle w:val="63"/>
          <w:rFonts w:hint="eastAsia" w:ascii="Times New Roman"/>
        </w:rPr>
        <w:t>和</w:t>
      </w:r>
      <w:r>
        <w:rPr>
          <w:rStyle w:val="63"/>
          <w:rFonts w:ascii="Times New Roman"/>
        </w:rPr>
        <w:t>修复范围应按照不同深度分别划定，并须提供拐点坐标和分层图示，明确分层污染土方量。总体修复范围需显示在总图上。</w:t>
      </w:r>
      <w:bookmarkEnd w:id="132"/>
    </w:p>
    <w:p>
      <w:pPr>
        <w:pStyle w:val="3"/>
        <w:numPr>
          <w:ilvl w:val="0"/>
          <w:numId w:val="8"/>
        </w:numPr>
        <w:spacing w:before="240" w:after="240" w:line="360" w:lineRule="exact"/>
        <w:rPr>
          <w:rFonts w:cs="Times New Roman"/>
        </w:rPr>
      </w:pPr>
      <w:bookmarkStart w:id="133" w:name="_Toc14538"/>
      <w:bookmarkStart w:id="134" w:name="_Toc30056"/>
      <w:r>
        <w:rPr>
          <w:rFonts w:cs="Times New Roman"/>
        </w:rPr>
        <w:t>结论与建议</w:t>
      </w:r>
      <w:bookmarkEnd w:id="133"/>
      <w:bookmarkEnd w:id="134"/>
    </w:p>
    <w:p>
      <w:pPr>
        <w:pStyle w:val="62"/>
        <w:tabs>
          <w:tab w:val="center" w:pos="4201"/>
          <w:tab w:val="right" w:leader="dot" w:pos="9298"/>
        </w:tabs>
        <w:spacing w:line="360" w:lineRule="exact"/>
        <w:rPr>
          <w:rStyle w:val="63"/>
          <w:rFonts w:ascii="Times New Roman"/>
        </w:rPr>
      </w:pPr>
      <w:r>
        <w:rPr>
          <w:rStyle w:val="63"/>
          <w:rFonts w:ascii="Times New Roman"/>
        </w:rPr>
        <w:t>（1）风险评估报告结论应明确关注污染物清单、土壤及地下水污染范围、暴露情景和人体健康风险、风险管控</w:t>
      </w:r>
      <w:r>
        <w:rPr>
          <w:rStyle w:val="63"/>
          <w:rFonts w:hint="eastAsia" w:ascii="Times New Roman"/>
        </w:rPr>
        <w:t>和</w:t>
      </w:r>
      <w:r>
        <w:rPr>
          <w:rStyle w:val="63"/>
          <w:rFonts w:ascii="Times New Roman"/>
        </w:rPr>
        <w:t>修复目标值、土壤及地下水风险管控</w:t>
      </w:r>
      <w:r>
        <w:rPr>
          <w:rStyle w:val="63"/>
          <w:rFonts w:hint="eastAsia" w:ascii="Times New Roman"/>
        </w:rPr>
        <w:t>和</w:t>
      </w:r>
      <w:r>
        <w:rPr>
          <w:rStyle w:val="63"/>
          <w:rFonts w:ascii="Times New Roman"/>
        </w:rPr>
        <w:t>修复范围</w:t>
      </w:r>
      <w:r>
        <w:rPr>
          <w:rStyle w:val="63"/>
          <w:rFonts w:hint="eastAsia" w:ascii="Times New Roman"/>
        </w:rPr>
        <w:t>及</w:t>
      </w:r>
      <w:r>
        <w:rPr>
          <w:rStyle w:val="63"/>
          <w:rFonts w:ascii="Times New Roman"/>
        </w:rPr>
        <w:t>方量等，并对存在风险的土壤和地下水提出是否需要实施风险管控、修复治理或环境管理的建议。</w:t>
      </w:r>
    </w:p>
    <w:p>
      <w:pPr>
        <w:pStyle w:val="62"/>
        <w:tabs>
          <w:tab w:val="center" w:pos="4201"/>
          <w:tab w:val="right" w:leader="dot" w:pos="9298"/>
        </w:tabs>
        <w:spacing w:line="360" w:lineRule="exact"/>
        <w:rPr>
          <w:rStyle w:val="63"/>
          <w:rFonts w:ascii="Times New Roman"/>
        </w:rPr>
      </w:pPr>
      <w:r>
        <w:rPr>
          <w:rStyle w:val="63"/>
          <w:rFonts w:ascii="Times New Roman"/>
        </w:rPr>
        <w:t>（2）地下水不作为饮用水或功能目标为Ⅲ类水标准的，调查发现地下水超标但风险可接受的地块，须明确地下水长期环境管理建议。</w:t>
      </w:r>
    </w:p>
    <w:p>
      <w:pPr>
        <w:pStyle w:val="62"/>
        <w:tabs>
          <w:tab w:val="center" w:pos="4201"/>
          <w:tab w:val="right" w:leader="dot" w:pos="9298"/>
        </w:tabs>
        <w:spacing w:line="360" w:lineRule="exact"/>
        <w:rPr>
          <w:rStyle w:val="63"/>
          <w:rFonts w:ascii="Times New Roman"/>
        </w:rPr>
        <w:sectPr>
          <w:pgSz w:w="11906" w:h="16838"/>
          <w:pgMar w:top="1276" w:right="1701" w:bottom="1440" w:left="1701" w:header="851" w:footer="992" w:gutter="0"/>
          <w:cols w:space="425" w:num="1"/>
          <w:docGrid w:type="lines" w:linePitch="435" w:charSpace="0"/>
        </w:sectPr>
      </w:pPr>
    </w:p>
    <w:p>
      <w:pPr>
        <w:spacing w:line="600" w:lineRule="exact"/>
        <w:ind w:firstLine="0" w:firstLineChars="0"/>
        <w:jc w:val="center"/>
        <w:outlineLvl w:val="0"/>
        <w:rPr>
          <w:rFonts w:eastAsia="黑体" w:cs="Times New Roman"/>
          <w:sz w:val="32"/>
          <w:szCs w:val="32"/>
        </w:rPr>
      </w:pPr>
      <w:bookmarkStart w:id="135" w:name="_Toc8624"/>
      <w:bookmarkStart w:id="136" w:name="_Toc23208"/>
      <w:bookmarkStart w:id="137" w:name="_Toc29980_WPSOffice_Level1"/>
      <w:bookmarkStart w:id="138" w:name="_Hlk38355710"/>
      <w:r>
        <w:rPr>
          <w:rFonts w:eastAsia="黑体" w:cs="Times New Roman"/>
          <w:sz w:val="32"/>
          <w:szCs w:val="32"/>
        </w:rPr>
        <w:t>第三章 建设用地</w:t>
      </w:r>
      <w:bookmarkStart w:id="139" w:name="_Hlk42957702"/>
      <w:r>
        <w:rPr>
          <w:rFonts w:eastAsia="黑体" w:cs="Times New Roman"/>
          <w:sz w:val="32"/>
          <w:szCs w:val="32"/>
        </w:rPr>
        <w:t>土壤污染修复（含风险管控）效果评估报告</w:t>
      </w:r>
      <w:bookmarkEnd w:id="139"/>
      <w:r>
        <w:rPr>
          <w:rFonts w:eastAsia="黑体" w:cs="Times New Roman"/>
          <w:sz w:val="32"/>
          <w:szCs w:val="32"/>
        </w:rPr>
        <w:t>审查技术要点</w:t>
      </w:r>
      <w:bookmarkEnd w:id="135"/>
      <w:bookmarkEnd w:id="136"/>
      <w:bookmarkEnd w:id="137"/>
    </w:p>
    <w:p>
      <w:pPr>
        <w:pStyle w:val="62"/>
        <w:tabs>
          <w:tab w:val="center" w:pos="4201"/>
          <w:tab w:val="right" w:leader="dot" w:pos="9298"/>
        </w:tabs>
        <w:spacing w:line="360" w:lineRule="exact"/>
        <w:rPr>
          <w:rStyle w:val="63"/>
          <w:rFonts w:ascii="Times New Roman"/>
        </w:rPr>
      </w:pPr>
      <w:r>
        <w:rPr>
          <w:rStyle w:val="63"/>
          <w:rFonts w:ascii="Times New Roman"/>
        </w:rPr>
        <w:t>修复（含风险管控）效果评估报告申请人提出申请时，应至少提交以下材料：用于评审的土壤污染修复（风险管控）效果评估报告，相关检测报告、修复（风险管控）方案，修复（风险管控）设计方案，施工方案，环境监理总结报告、施工总结报告，已经评审通过的土壤污染状况调查报告及评审意见，已经评审通过的土壤污染风险评估报告及评审意见等。</w:t>
      </w:r>
    </w:p>
    <w:bookmarkEnd w:id="138"/>
    <w:p>
      <w:pPr>
        <w:pStyle w:val="3"/>
        <w:numPr>
          <w:ilvl w:val="0"/>
          <w:numId w:val="9"/>
        </w:numPr>
        <w:adjustRightInd w:val="0"/>
        <w:spacing w:before="240" w:after="240" w:line="360" w:lineRule="exact"/>
        <w:rPr>
          <w:rFonts w:cs="Times New Roman"/>
        </w:rPr>
      </w:pPr>
      <w:bookmarkStart w:id="140" w:name="_Toc6808"/>
      <w:bookmarkStart w:id="141" w:name="_Toc12060"/>
      <w:r>
        <w:rPr>
          <w:rFonts w:cs="Times New Roman"/>
        </w:rPr>
        <w:t>修复效果评估审查要点</w:t>
      </w:r>
      <w:bookmarkEnd w:id="140"/>
      <w:bookmarkEnd w:id="141"/>
    </w:p>
    <w:p>
      <w:pPr>
        <w:pStyle w:val="3"/>
        <w:numPr>
          <w:ilvl w:val="1"/>
          <w:numId w:val="9"/>
        </w:numPr>
        <w:spacing w:before="120" w:after="120" w:line="360" w:lineRule="exact"/>
        <w:rPr>
          <w:rFonts w:cs="Times New Roman"/>
        </w:rPr>
      </w:pPr>
      <w:bookmarkStart w:id="142" w:name="_Toc3224"/>
      <w:bookmarkStart w:id="143" w:name="_Toc11270"/>
      <w:r>
        <w:rPr>
          <w:rFonts w:cs="Times New Roman"/>
        </w:rPr>
        <w:t>效果评估监测程序</w:t>
      </w:r>
      <w:bookmarkEnd w:id="142"/>
      <w:bookmarkEnd w:id="143"/>
    </w:p>
    <w:p>
      <w:pPr>
        <w:pStyle w:val="62"/>
        <w:tabs>
          <w:tab w:val="center" w:pos="4201"/>
          <w:tab w:val="right" w:leader="dot" w:pos="9298"/>
        </w:tabs>
        <w:spacing w:line="360" w:lineRule="exact"/>
        <w:rPr>
          <w:rStyle w:val="63"/>
          <w:rFonts w:ascii="Times New Roman"/>
        </w:rPr>
      </w:pPr>
      <w:r>
        <w:rPr>
          <w:rStyle w:val="63"/>
          <w:rFonts w:ascii="Times New Roman"/>
        </w:rPr>
        <w:t>对于采取原位修复模式进行修复的污染地块，应在修复工程完成后进行效果评估监测。</w:t>
      </w:r>
    </w:p>
    <w:p>
      <w:pPr>
        <w:pStyle w:val="62"/>
        <w:tabs>
          <w:tab w:val="center" w:pos="4201"/>
          <w:tab w:val="right" w:leader="dot" w:pos="9298"/>
        </w:tabs>
        <w:spacing w:line="360" w:lineRule="exact"/>
        <w:rPr>
          <w:rStyle w:val="63"/>
          <w:rFonts w:ascii="Times New Roman"/>
        </w:rPr>
      </w:pPr>
      <w:r>
        <w:rPr>
          <w:rStyle w:val="63"/>
          <w:rFonts w:ascii="Times New Roman"/>
        </w:rPr>
        <w:t>对于采取原地异位修复模式进行修复的污染地块，应在基坑回填之前对基坑和土壤进行效果评估监测；对于采取异地修复模式进行修复的土壤和地下水，可根据施工计划，分阶段分批次对原地清挖现场及接收地异位修复的土壤和地下水进行效果评估监测。</w:t>
      </w:r>
    </w:p>
    <w:p>
      <w:pPr>
        <w:pStyle w:val="3"/>
        <w:numPr>
          <w:ilvl w:val="1"/>
          <w:numId w:val="9"/>
        </w:numPr>
        <w:spacing w:before="120" w:after="120" w:line="360" w:lineRule="exact"/>
        <w:rPr>
          <w:rFonts w:cs="Times New Roman"/>
        </w:rPr>
      </w:pPr>
      <w:bookmarkStart w:id="144" w:name="_Toc32382"/>
      <w:bookmarkStart w:id="145" w:name="_Toc27984"/>
      <w:r>
        <w:rPr>
          <w:rFonts w:cs="Times New Roman"/>
        </w:rPr>
        <w:t>效果评估监测范围</w:t>
      </w:r>
      <w:bookmarkEnd w:id="144"/>
      <w:bookmarkEnd w:id="145"/>
    </w:p>
    <w:p>
      <w:pPr>
        <w:pStyle w:val="62"/>
        <w:tabs>
          <w:tab w:val="center" w:pos="4201"/>
          <w:tab w:val="right" w:leader="dot" w:pos="9298"/>
        </w:tabs>
        <w:spacing w:line="360" w:lineRule="exact"/>
        <w:rPr>
          <w:rStyle w:val="63"/>
          <w:rFonts w:ascii="Times New Roman"/>
        </w:rPr>
      </w:pPr>
      <w:r>
        <w:rPr>
          <w:rStyle w:val="63"/>
          <w:rFonts w:ascii="Times New Roman"/>
        </w:rPr>
        <w:t xml:space="preserve">采用原位修复技术的，监测范围应与污染地块修复方案中确定的修复范围一致；采用异位修复技术的，监测范围应包括污染土壤清挖区域和开展异位修复的土壤和地下水；当修复范围和工程量发生变更时，应根据实际情况对效果评估范围进行调整。 </w:t>
      </w:r>
    </w:p>
    <w:p>
      <w:pPr>
        <w:pStyle w:val="3"/>
        <w:numPr>
          <w:ilvl w:val="1"/>
          <w:numId w:val="9"/>
        </w:numPr>
        <w:spacing w:before="120" w:after="120" w:line="360" w:lineRule="exact"/>
        <w:rPr>
          <w:rFonts w:cs="Times New Roman"/>
        </w:rPr>
      </w:pPr>
      <w:bookmarkStart w:id="146" w:name="_Toc16707"/>
      <w:bookmarkStart w:id="147" w:name="_Toc660"/>
      <w:r>
        <w:rPr>
          <w:rFonts w:cs="Times New Roman"/>
        </w:rPr>
        <w:t>效果评估监测介质与项目</w:t>
      </w:r>
      <w:bookmarkEnd w:id="146"/>
      <w:bookmarkEnd w:id="147"/>
    </w:p>
    <w:p>
      <w:pPr>
        <w:pStyle w:val="62"/>
        <w:tabs>
          <w:tab w:val="center" w:pos="4201"/>
          <w:tab w:val="right" w:leader="dot" w:pos="9298"/>
        </w:tabs>
        <w:spacing w:line="360" w:lineRule="exact"/>
        <w:rPr>
          <w:rStyle w:val="63"/>
          <w:rFonts w:ascii="Times New Roman"/>
        </w:rPr>
      </w:pPr>
      <w:r>
        <w:rPr>
          <w:rStyle w:val="63"/>
          <w:rFonts w:ascii="Times New Roman"/>
        </w:rPr>
        <w:t>监测介质主要为地块修复范围内的土壤和地下水，或经异位修复处理后的土壤和地下水，其它监测介质可根据具体修复技术工艺确定。</w:t>
      </w:r>
    </w:p>
    <w:p>
      <w:pPr>
        <w:pStyle w:val="62"/>
        <w:tabs>
          <w:tab w:val="center" w:pos="4201"/>
          <w:tab w:val="right" w:leader="dot" w:pos="9298"/>
        </w:tabs>
        <w:spacing w:line="360" w:lineRule="exact"/>
        <w:rPr>
          <w:rStyle w:val="63"/>
          <w:rFonts w:ascii="Times New Roman"/>
        </w:rPr>
      </w:pPr>
      <w:r>
        <w:rPr>
          <w:rStyle w:val="63"/>
          <w:rFonts w:ascii="Times New Roman"/>
        </w:rPr>
        <w:t>监测项目主要为地块修复技术方案中确定的土壤和地下水关注污染物。如果污染土壤和地下水修复中加入了修复药剂，监测项目还应包含修复药剂可能产生的污染因子。当地下水异位修复达标后进行排放时，其监测因子除目标污染物外，还应包括国家或广西壮族自治区相关废水排放标准中的主要监测因子。如果污染地块修复工程还包括地块地表水和底泥，则具体监测项目应根据污染地块修复技术方案确定。</w:t>
      </w:r>
    </w:p>
    <w:p>
      <w:pPr>
        <w:pStyle w:val="3"/>
        <w:numPr>
          <w:ilvl w:val="1"/>
          <w:numId w:val="9"/>
        </w:numPr>
        <w:spacing w:before="120" w:after="120" w:line="360" w:lineRule="exact"/>
        <w:rPr>
          <w:rFonts w:cs="Times New Roman"/>
        </w:rPr>
      </w:pPr>
      <w:bookmarkStart w:id="148" w:name="_Toc29619"/>
      <w:bookmarkStart w:id="149" w:name="_Toc7962"/>
      <w:r>
        <w:rPr>
          <w:rFonts w:cs="Times New Roman"/>
        </w:rPr>
        <w:t>主体修复工程实施情况</w:t>
      </w:r>
      <w:bookmarkEnd w:id="148"/>
      <w:bookmarkEnd w:id="149"/>
    </w:p>
    <w:p>
      <w:pPr>
        <w:pStyle w:val="62"/>
        <w:tabs>
          <w:tab w:val="center" w:pos="4201"/>
          <w:tab w:val="right" w:leader="dot" w:pos="9298"/>
        </w:tabs>
        <w:spacing w:line="360" w:lineRule="exact"/>
        <w:rPr>
          <w:rStyle w:val="63"/>
          <w:rFonts w:ascii="Times New Roman"/>
        </w:rPr>
      </w:pPr>
      <w:r>
        <w:rPr>
          <w:rStyle w:val="63"/>
          <w:rFonts w:ascii="Times New Roman"/>
        </w:rPr>
        <w:t>明确主体修复工程实施情况与地块环境调查、地块修复实施方案的一致性；明确修复后土方量及最终去向（如委外处置，需出具相关接收证明和土壤污染防治法律责任转移文件）；明确工程实施过程中有无投诉，有无风险事故及是否存在工程变更等情况。如通过资料审查形式获得，明确资料来源。</w:t>
      </w:r>
    </w:p>
    <w:p>
      <w:pPr>
        <w:pStyle w:val="3"/>
        <w:numPr>
          <w:ilvl w:val="1"/>
          <w:numId w:val="9"/>
        </w:numPr>
        <w:spacing w:before="120" w:after="120" w:line="360" w:lineRule="exact"/>
        <w:rPr>
          <w:rFonts w:cs="Times New Roman"/>
        </w:rPr>
      </w:pPr>
      <w:bookmarkStart w:id="150" w:name="_Toc21774"/>
      <w:bookmarkStart w:id="151" w:name="_Toc18434"/>
      <w:r>
        <w:rPr>
          <w:rFonts w:cs="Times New Roman"/>
        </w:rPr>
        <w:t>更新地块概念模型</w:t>
      </w:r>
      <w:bookmarkEnd w:id="150"/>
      <w:bookmarkEnd w:id="151"/>
    </w:p>
    <w:p>
      <w:pPr>
        <w:pStyle w:val="62"/>
        <w:tabs>
          <w:tab w:val="center" w:pos="4201"/>
          <w:tab w:val="right" w:leader="dot" w:pos="9298"/>
        </w:tabs>
        <w:spacing w:line="360" w:lineRule="exact"/>
        <w:rPr>
          <w:rStyle w:val="63"/>
          <w:rFonts w:ascii="Times New Roman"/>
        </w:rPr>
      </w:pPr>
      <w:r>
        <w:rPr>
          <w:rStyle w:val="63"/>
          <w:rFonts w:ascii="Times New Roman"/>
        </w:rPr>
        <w:t>在资料回顾、现场踏勘、人员访谈基础上，掌握地块风险管控与修复工程情况，结合地块地质与水文地质情况、污染空间分布、修复技术特点、修复设施布局等，对地块概念模型进行更新，完善地块实施风险管控与修复后的概念模型。</w:t>
      </w:r>
    </w:p>
    <w:p>
      <w:pPr>
        <w:pStyle w:val="62"/>
        <w:tabs>
          <w:tab w:val="center" w:pos="4201"/>
          <w:tab w:val="right" w:leader="dot" w:pos="9298"/>
        </w:tabs>
        <w:spacing w:line="360" w:lineRule="exact"/>
        <w:rPr>
          <w:rStyle w:val="63"/>
          <w:rFonts w:ascii="Times New Roman"/>
        </w:rPr>
      </w:pPr>
      <w:r>
        <w:rPr>
          <w:rStyle w:val="63"/>
          <w:rFonts w:ascii="Times New Roman"/>
        </w:rPr>
        <w:t>地块概念模型包括地块风险管控与修复情况、关注污染物情况、地质与水文地质情况和潜在受体与周边环境情况。可用文字、图、表等方式表达，作为确定效果评估范围、采样节点、布点位置等的依据。</w:t>
      </w:r>
    </w:p>
    <w:p>
      <w:pPr>
        <w:pStyle w:val="3"/>
        <w:numPr>
          <w:ilvl w:val="0"/>
          <w:numId w:val="9"/>
        </w:numPr>
        <w:adjustRightInd w:val="0"/>
        <w:spacing w:before="240" w:after="240" w:line="360" w:lineRule="exact"/>
        <w:rPr>
          <w:rFonts w:cs="Times New Roman"/>
        </w:rPr>
      </w:pPr>
      <w:bookmarkStart w:id="152" w:name="_Toc25793"/>
      <w:bookmarkStart w:id="153" w:name="_Toc16121"/>
      <w:r>
        <w:rPr>
          <w:rFonts w:cs="Times New Roman"/>
        </w:rPr>
        <w:t>修复效果评估采样布点方法</w:t>
      </w:r>
      <w:bookmarkEnd w:id="152"/>
      <w:bookmarkEnd w:id="153"/>
    </w:p>
    <w:p>
      <w:pPr>
        <w:pStyle w:val="3"/>
        <w:numPr>
          <w:ilvl w:val="1"/>
          <w:numId w:val="9"/>
        </w:numPr>
        <w:spacing w:before="120" w:after="120" w:line="360" w:lineRule="exact"/>
        <w:rPr>
          <w:rFonts w:cs="Times New Roman"/>
        </w:rPr>
      </w:pPr>
      <w:bookmarkStart w:id="154" w:name="_Toc20340"/>
      <w:bookmarkStart w:id="155" w:name="_Toc12119"/>
      <w:r>
        <w:rPr>
          <w:rFonts w:cs="Times New Roman"/>
        </w:rPr>
        <w:t>土壤采样布点</w:t>
      </w:r>
      <w:bookmarkEnd w:id="154"/>
      <w:bookmarkEnd w:id="155"/>
    </w:p>
    <w:p>
      <w:pPr>
        <w:pStyle w:val="66"/>
        <w:numPr>
          <w:ilvl w:val="2"/>
          <w:numId w:val="9"/>
        </w:numPr>
        <w:spacing w:before="217" w:beforeLines="50" w:after="217" w:afterLines="50" w:line="360" w:lineRule="exact"/>
        <w:textAlignment w:val="auto"/>
        <w:rPr>
          <w:rStyle w:val="63"/>
          <w:rFonts w:ascii="Times New Roman"/>
        </w:rPr>
      </w:pPr>
      <w:r>
        <w:rPr>
          <w:rStyle w:val="63"/>
          <w:rFonts w:ascii="Times New Roman"/>
        </w:rPr>
        <w:t>土壤异位修复</w:t>
      </w:r>
    </w:p>
    <w:p>
      <w:pPr>
        <w:pStyle w:val="62"/>
        <w:tabs>
          <w:tab w:val="center" w:pos="4201"/>
          <w:tab w:val="right" w:leader="dot" w:pos="9298"/>
        </w:tabs>
        <w:spacing w:line="360" w:lineRule="exact"/>
        <w:rPr>
          <w:rStyle w:val="63"/>
          <w:rFonts w:ascii="Times New Roman"/>
        </w:rPr>
      </w:pPr>
      <w:r>
        <w:rPr>
          <w:rStyle w:val="63"/>
          <w:rFonts w:ascii="Times New Roman"/>
        </w:rPr>
        <w:t>（1）基坑底部和侧壁采样布点</w:t>
      </w:r>
    </w:p>
    <w:p>
      <w:pPr>
        <w:pStyle w:val="62"/>
        <w:tabs>
          <w:tab w:val="center" w:pos="4201"/>
          <w:tab w:val="right" w:leader="dot" w:pos="9298"/>
        </w:tabs>
        <w:spacing w:line="360" w:lineRule="exact"/>
        <w:rPr>
          <w:rStyle w:val="63"/>
          <w:rFonts w:ascii="Times New Roman"/>
        </w:rPr>
      </w:pPr>
      <w:r>
        <w:rPr>
          <w:rStyle w:val="63"/>
          <w:rFonts w:ascii="Times New Roman"/>
        </w:rPr>
        <w:t>基坑底部：采用系统布点法划分采样单元，将底部均分采样单元，每个采样单元原则上网格大小不超过20 m × 20 m，最少采样点数量需满足HJ</w:t>
      </w:r>
      <w:r>
        <w:rPr>
          <w:rStyle w:val="63"/>
          <w:rFonts w:hint="eastAsia" w:ascii="Times New Roman"/>
        </w:rPr>
        <w:t xml:space="preserve"> </w:t>
      </w:r>
      <w:r>
        <w:rPr>
          <w:rStyle w:val="63"/>
          <w:rFonts w:ascii="Times New Roman"/>
        </w:rPr>
        <w:t>25.5要求。</w:t>
      </w:r>
    </w:p>
    <w:p>
      <w:pPr>
        <w:pStyle w:val="62"/>
        <w:tabs>
          <w:tab w:val="center" w:pos="4201"/>
          <w:tab w:val="right" w:leader="dot" w:pos="9298"/>
        </w:tabs>
        <w:spacing w:line="360" w:lineRule="exact"/>
        <w:rPr>
          <w:rStyle w:val="63"/>
          <w:rFonts w:ascii="Times New Roman"/>
        </w:rPr>
      </w:pPr>
      <w:r>
        <w:rPr>
          <w:rStyle w:val="63"/>
          <w:rFonts w:ascii="Times New Roman"/>
        </w:rPr>
        <w:t>基坑侧壁：根据基坑侧壁长度确定样品数量，采用等距离布点法划分横向采样单元，横向采样单元原则上不超过40 m；当修复深度≤1 m时，侧壁不进行垂向分层采样；当基坑深度＞1 m时，侧壁应进行垂向分层采样，各层采样点之间垂向距离≤3 m。</w:t>
      </w:r>
    </w:p>
    <w:p>
      <w:pPr>
        <w:pStyle w:val="62"/>
        <w:tabs>
          <w:tab w:val="center" w:pos="4201"/>
          <w:tab w:val="right" w:leader="dot" w:pos="9298"/>
        </w:tabs>
        <w:spacing w:line="360" w:lineRule="exact"/>
        <w:rPr>
          <w:rStyle w:val="63"/>
          <w:rFonts w:ascii="Times New Roman"/>
        </w:rPr>
      </w:pPr>
      <w:r>
        <w:rPr>
          <w:rStyle w:val="63"/>
          <w:rFonts w:ascii="Times New Roman"/>
        </w:rPr>
        <w:t>（2）对原地异位修复后土壤采样布点</w:t>
      </w:r>
    </w:p>
    <w:p>
      <w:pPr>
        <w:pStyle w:val="62"/>
        <w:tabs>
          <w:tab w:val="center" w:pos="4201"/>
          <w:tab w:val="right" w:leader="dot" w:pos="9298"/>
        </w:tabs>
        <w:spacing w:line="360" w:lineRule="exact"/>
        <w:rPr>
          <w:rStyle w:val="63"/>
          <w:rFonts w:ascii="Times New Roman"/>
        </w:rPr>
      </w:pPr>
      <w:r>
        <w:rPr>
          <w:rStyle w:val="63"/>
          <w:rFonts w:ascii="Times New Roman"/>
        </w:rPr>
        <w:t>修复后的土壤等以500 m</w:t>
      </w:r>
      <w:r>
        <w:rPr>
          <w:rStyle w:val="63"/>
          <w:rFonts w:ascii="Times New Roman"/>
          <w:vertAlign w:val="superscript"/>
        </w:rPr>
        <w:t>3</w:t>
      </w:r>
      <w:r>
        <w:rPr>
          <w:rStyle w:val="63"/>
          <w:rFonts w:ascii="Times New Roman"/>
        </w:rPr>
        <w:t>为一个采样单元，在土壤堆体表层、中间和底层分别采集土壤样品制成一个混合样品（挥发性有机物修复除外）。</w:t>
      </w:r>
    </w:p>
    <w:p>
      <w:pPr>
        <w:pStyle w:val="62"/>
        <w:tabs>
          <w:tab w:val="center" w:pos="4201"/>
          <w:tab w:val="right" w:leader="dot" w:pos="9298"/>
        </w:tabs>
        <w:spacing w:line="360" w:lineRule="exact"/>
        <w:rPr>
          <w:rStyle w:val="63"/>
          <w:rFonts w:ascii="Times New Roman"/>
        </w:rPr>
      </w:pPr>
      <w:r>
        <w:rPr>
          <w:rStyle w:val="63"/>
          <w:rFonts w:ascii="Times New Roman"/>
        </w:rPr>
        <w:t>针对挥发性有机物污染土壤应在每个采样单元表观最严重的区域采集1个土壤样品，可借助PID等现场检测仪器确定采样区域。</w:t>
      </w:r>
    </w:p>
    <w:p>
      <w:pPr>
        <w:pStyle w:val="66"/>
        <w:numPr>
          <w:ilvl w:val="2"/>
          <w:numId w:val="9"/>
        </w:numPr>
        <w:spacing w:before="217" w:beforeLines="50" w:after="217" w:afterLines="50" w:line="360" w:lineRule="exact"/>
        <w:textAlignment w:val="auto"/>
        <w:rPr>
          <w:rStyle w:val="63"/>
          <w:rFonts w:ascii="Times New Roman"/>
        </w:rPr>
      </w:pPr>
      <w:r>
        <w:rPr>
          <w:rStyle w:val="63"/>
          <w:rFonts w:ascii="Times New Roman"/>
        </w:rPr>
        <w:t>土壤原位修复</w:t>
      </w:r>
    </w:p>
    <w:p>
      <w:pPr>
        <w:pStyle w:val="62"/>
        <w:tabs>
          <w:tab w:val="center" w:pos="4201"/>
          <w:tab w:val="right" w:leader="dot" w:pos="9298"/>
        </w:tabs>
        <w:spacing w:line="360" w:lineRule="exact"/>
        <w:rPr>
          <w:rStyle w:val="63"/>
          <w:rFonts w:ascii="Times New Roman"/>
        </w:rPr>
      </w:pPr>
      <w:r>
        <w:rPr>
          <w:rStyle w:val="63"/>
          <w:rFonts w:ascii="Times New Roman"/>
        </w:rPr>
        <w:t>对修复范围内的土壤进行钻孔分层采样，在每一个水平采样单元采集土壤样品。水平（顶部和底部）采样单元面积按上述基坑底部采样布点方法确定，修复范围边界采样单元长度按上述基坑侧壁采样布点方法确定。垂直方向上采样深度应大于调查评估确定的污染深度以及修复可能造成的污染物迁移的深度，根据土层性质设置采样点，原则上垂向采样点之间距离不大于3 m。</w:t>
      </w:r>
    </w:p>
    <w:p>
      <w:pPr>
        <w:pStyle w:val="66"/>
        <w:numPr>
          <w:ilvl w:val="2"/>
          <w:numId w:val="9"/>
        </w:numPr>
        <w:spacing w:before="217" w:beforeLines="50" w:after="217" w:afterLines="50" w:line="360" w:lineRule="exact"/>
        <w:textAlignment w:val="auto"/>
        <w:rPr>
          <w:rStyle w:val="63"/>
          <w:rFonts w:ascii="Times New Roman"/>
        </w:rPr>
      </w:pPr>
      <w:r>
        <w:rPr>
          <w:rStyle w:val="63"/>
          <w:rFonts w:ascii="Times New Roman"/>
        </w:rPr>
        <w:t>土壤修复二次污染区域布点</w:t>
      </w:r>
    </w:p>
    <w:p>
      <w:pPr>
        <w:pStyle w:val="62"/>
        <w:tabs>
          <w:tab w:val="center" w:pos="4201"/>
          <w:tab w:val="right" w:leader="dot" w:pos="9298"/>
        </w:tabs>
        <w:spacing w:line="360" w:lineRule="exact"/>
        <w:rPr>
          <w:rStyle w:val="63"/>
          <w:rFonts w:ascii="Times New Roman"/>
        </w:rPr>
      </w:pPr>
      <w:r>
        <w:rPr>
          <w:rStyle w:val="63"/>
          <w:rFonts w:ascii="Times New Roman"/>
        </w:rPr>
        <w:t>重点关注污染土壤暂存区、固体废物堆放区、异位土壤修复处置区、尾水尾气处置区、运输车辆临时道路等区域。</w:t>
      </w:r>
    </w:p>
    <w:p>
      <w:pPr>
        <w:pStyle w:val="62"/>
        <w:tabs>
          <w:tab w:val="center" w:pos="4201"/>
          <w:tab w:val="right" w:leader="dot" w:pos="9298"/>
        </w:tabs>
        <w:spacing w:line="360" w:lineRule="exact"/>
        <w:rPr>
          <w:rStyle w:val="63"/>
          <w:rFonts w:ascii="Times New Roman"/>
        </w:rPr>
      </w:pPr>
      <w:r>
        <w:rPr>
          <w:rStyle w:val="63"/>
          <w:rFonts w:ascii="Times New Roman"/>
        </w:rPr>
        <w:t>参照基坑底部和侧壁的采样方法进行采样。</w:t>
      </w:r>
    </w:p>
    <w:p>
      <w:pPr>
        <w:pStyle w:val="3"/>
        <w:numPr>
          <w:ilvl w:val="1"/>
          <w:numId w:val="9"/>
        </w:numPr>
        <w:spacing w:before="120" w:after="120" w:line="360" w:lineRule="exact"/>
        <w:rPr>
          <w:rFonts w:cs="Times New Roman"/>
        </w:rPr>
      </w:pPr>
      <w:bookmarkStart w:id="156" w:name="_Toc25276"/>
      <w:bookmarkStart w:id="157" w:name="_Toc8077"/>
      <w:r>
        <w:rPr>
          <w:rFonts w:cs="Times New Roman"/>
        </w:rPr>
        <w:t>地下水采样布点</w:t>
      </w:r>
      <w:bookmarkEnd w:id="156"/>
      <w:bookmarkEnd w:id="157"/>
    </w:p>
    <w:p>
      <w:pPr>
        <w:pStyle w:val="66"/>
        <w:numPr>
          <w:ilvl w:val="2"/>
          <w:numId w:val="9"/>
        </w:numPr>
        <w:spacing w:before="217" w:beforeLines="50" w:after="217" w:afterLines="50" w:line="360" w:lineRule="exact"/>
        <w:textAlignment w:val="auto"/>
        <w:rPr>
          <w:rStyle w:val="63"/>
          <w:rFonts w:ascii="Times New Roman"/>
        </w:rPr>
      </w:pPr>
      <w:r>
        <w:rPr>
          <w:rStyle w:val="63"/>
          <w:rFonts w:ascii="Times New Roman"/>
        </w:rPr>
        <w:t>地下水原位修复</w:t>
      </w:r>
    </w:p>
    <w:p>
      <w:pPr>
        <w:pStyle w:val="62"/>
        <w:tabs>
          <w:tab w:val="center" w:pos="4201"/>
          <w:tab w:val="right" w:leader="dot" w:pos="9298"/>
        </w:tabs>
        <w:spacing w:line="360" w:lineRule="exact"/>
        <w:rPr>
          <w:rStyle w:val="63"/>
          <w:rFonts w:ascii="Times New Roman"/>
        </w:rPr>
      </w:pPr>
      <w:r>
        <w:rPr>
          <w:rStyle w:val="63"/>
          <w:rFonts w:ascii="Times New Roman"/>
        </w:rPr>
        <w:t>（1）地下水监测井应依据地下水的流向及污染区域地理位置进行设置，修复范围上游地下水采样点不少于1个，修复范围内采样点不少于3个，修复范围下游采样点不少于2个。</w:t>
      </w:r>
    </w:p>
    <w:p>
      <w:pPr>
        <w:pStyle w:val="62"/>
        <w:tabs>
          <w:tab w:val="center" w:pos="4201"/>
          <w:tab w:val="right" w:leader="dot" w:pos="9298"/>
        </w:tabs>
        <w:spacing w:line="360" w:lineRule="exact"/>
        <w:rPr>
          <w:rStyle w:val="63"/>
          <w:rFonts w:ascii="Times New Roman"/>
        </w:rPr>
      </w:pPr>
      <w:r>
        <w:rPr>
          <w:rStyle w:val="63"/>
          <w:rFonts w:ascii="Times New Roman"/>
        </w:rPr>
        <w:t>（2）地块环境调查和修复过程建设的监测井也可用于效果评估监测采样，但其数量不应超过效果评估时监测井总数的60%；不可利用原位修复的注入井/抽提井进行地下水效果评估采样。</w:t>
      </w:r>
    </w:p>
    <w:p>
      <w:pPr>
        <w:pStyle w:val="62"/>
        <w:tabs>
          <w:tab w:val="center" w:pos="4201"/>
          <w:tab w:val="right" w:leader="dot" w:pos="9298"/>
        </w:tabs>
        <w:spacing w:line="360" w:lineRule="exact"/>
        <w:rPr>
          <w:rStyle w:val="63"/>
          <w:rFonts w:ascii="Times New Roman"/>
        </w:rPr>
      </w:pPr>
      <w:bookmarkStart w:id="158" w:name="_Hlk38358704"/>
      <w:r>
        <w:rPr>
          <w:rStyle w:val="63"/>
          <w:rFonts w:ascii="Times New Roman"/>
        </w:rPr>
        <w:t>（3）应初判地下水污染物稳定达标且地下水流场达到稳定状态时，方可进入地下水修复效果评估阶段。原则上采用修复工程运行阶段监测数据进行修复达标初判，至少需要连续4个批次的样品进行修复达标初判，采样周期应涵盖地下水丰、平、枯水期。</w:t>
      </w:r>
    </w:p>
    <w:p>
      <w:pPr>
        <w:pStyle w:val="62"/>
        <w:tabs>
          <w:tab w:val="center" w:pos="4201"/>
          <w:tab w:val="right" w:leader="dot" w:pos="9298"/>
        </w:tabs>
        <w:spacing w:line="360" w:lineRule="exact"/>
        <w:rPr>
          <w:rStyle w:val="63"/>
          <w:rFonts w:ascii="Times New Roman"/>
        </w:rPr>
      </w:pPr>
      <w:bookmarkStart w:id="159" w:name="_Hlk43022641"/>
      <w:r>
        <w:rPr>
          <w:rStyle w:val="63"/>
          <w:rFonts w:ascii="Times New Roman"/>
        </w:rPr>
        <w:t>（4）修复效果评估阶段应至少采集8个批次的样品，采样持续时间至少为1年，应涵盖地下水丰、平、枯水期，原则上采样频次为每季度一次，两个批次之间间隔不得少于1个月。对于地下水流场变化较大的地块可适当增加采样频次。</w:t>
      </w:r>
    </w:p>
    <w:bookmarkEnd w:id="158"/>
    <w:bookmarkEnd w:id="159"/>
    <w:p>
      <w:pPr>
        <w:pStyle w:val="66"/>
        <w:numPr>
          <w:ilvl w:val="2"/>
          <w:numId w:val="9"/>
        </w:numPr>
        <w:spacing w:before="217" w:beforeLines="50" w:after="217" w:afterLines="50" w:line="360" w:lineRule="exact"/>
        <w:textAlignment w:val="auto"/>
        <w:rPr>
          <w:rStyle w:val="63"/>
          <w:rFonts w:ascii="Times New Roman"/>
        </w:rPr>
      </w:pPr>
      <w:r>
        <w:rPr>
          <w:rStyle w:val="63"/>
          <w:rFonts w:ascii="Times New Roman"/>
        </w:rPr>
        <w:t>地下水异位修复</w:t>
      </w:r>
    </w:p>
    <w:p>
      <w:pPr>
        <w:pStyle w:val="62"/>
        <w:tabs>
          <w:tab w:val="center" w:pos="4201"/>
          <w:tab w:val="right" w:leader="dot" w:pos="9298"/>
        </w:tabs>
        <w:spacing w:line="360" w:lineRule="exact"/>
        <w:rPr>
          <w:rStyle w:val="63"/>
          <w:rFonts w:ascii="Times New Roman"/>
        </w:rPr>
      </w:pPr>
      <w:r>
        <w:rPr>
          <w:rStyle w:val="63"/>
          <w:rFonts w:ascii="Times New Roman"/>
        </w:rPr>
        <w:t>对地下水污染抽提范围内的效果评估监测采样参照地下水原位修复效果评估监测采样方法执行。</w:t>
      </w:r>
    </w:p>
    <w:p>
      <w:pPr>
        <w:pStyle w:val="62"/>
        <w:tabs>
          <w:tab w:val="center" w:pos="4201"/>
          <w:tab w:val="right" w:leader="dot" w:pos="9298"/>
        </w:tabs>
        <w:spacing w:line="360" w:lineRule="exact"/>
        <w:rPr>
          <w:rStyle w:val="63"/>
          <w:rFonts w:ascii="Times New Roman"/>
        </w:rPr>
      </w:pPr>
      <w:r>
        <w:rPr>
          <w:rStyle w:val="63"/>
          <w:rFonts w:ascii="Times New Roman"/>
        </w:rPr>
        <w:t>对抽提后完成修复的地下水，效果评估监测采样按下述方法执行：</w:t>
      </w:r>
    </w:p>
    <w:p>
      <w:pPr>
        <w:pStyle w:val="62"/>
        <w:tabs>
          <w:tab w:val="center" w:pos="4201"/>
          <w:tab w:val="right" w:leader="dot" w:pos="9298"/>
        </w:tabs>
        <w:spacing w:line="360" w:lineRule="exact"/>
        <w:rPr>
          <w:rStyle w:val="63"/>
          <w:rFonts w:ascii="Times New Roman"/>
        </w:rPr>
      </w:pPr>
      <w:r>
        <w:rPr>
          <w:rStyle w:val="63"/>
          <w:rFonts w:ascii="Times New Roman"/>
        </w:rPr>
        <w:t>（1）采用序批处理方式对污染地下水进行修复时，效果评估监测采样可以每1个批次地下水为1个采样单元；</w:t>
      </w:r>
    </w:p>
    <w:p>
      <w:pPr>
        <w:pStyle w:val="62"/>
        <w:tabs>
          <w:tab w:val="center" w:pos="4201"/>
          <w:tab w:val="right" w:leader="dot" w:pos="9298"/>
        </w:tabs>
        <w:spacing w:line="360" w:lineRule="exact"/>
        <w:rPr>
          <w:rStyle w:val="63"/>
          <w:rFonts w:ascii="Times New Roman"/>
        </w:rPr>
      </w:pPr>
      <w:r>
        <w:rPr>
          <w:rStyle w:val="63"/>
          <w:rFonts w:ascii="Times New Roman"/>
        </w:rPr>
        <w:t>（2）采用连续处理方式对污染地下水进行修复时，可在单日施工周期内于出水口位置每2 h采集一个样品，制成1个混合样；</w:t>
      </w:r>
    </w:p>
    <w:p>
      <w:pPr>
        <w:pStyle w:val="62"/>
        <w:tabs>
          <w:tab w:val="center" w:pos="4201"/>
          <w:tab w:val="right" w:leader="dot" w:pos="9298"/>
        </w:tabs>
        <w:spacing w:line="360" w:lineRule="exact"/>
        <w:rPr>
          <w:rStyle w:val="63"/>
          <w:rFonts w:ascii="Times New Roman"/>
        </w:rPr>
      </w:pPr>
      <w:r>
        <w:rPr>
          <w:rStyle w:val="63"/>
          <w:rFonts w:ascii="Times New Roman"/>
        </w:rPr>
        <w:t>（3）对挥发性有机物污染地下水，不宜采用混合取样。</w:t>
      </w:r>
    </w:p>
    <w:p>
      <w:pPr>
        <w:pStyle w:val="3"/>
        <w:numPr>
          <w:ilvl w:val="0"/>
          <w:numId w:val="9"/>
        </w:numPr>
        <w:adjustRightInd w:val="0"/>
        <w:spacing w:before="240" w:after="240" w:line="360" w:lineRule="exact"/>
        <w:rPr>
          <w:rFonts w:cs="Times New Roman"/>
        </w:rPr>
      </w:pPr>
      <w:bookmarkStart w:id="160" w:name="_Toc26596"/>
      <w:bookmarkStart w:id="161" w:name="_Toc11313"/>
      <w:r>
        <w:rPr>
          <w:rFonts w:cs="Times New Roman"/>
        </w:rPr>
        <w:t>风险管控效果评估程序和采样布点方法</w:t>
      </w:r>
      <w:bookmarkEnd w:id="160"/>
      <w:bookmarkEnd w:id="161"/>
    </w:p>
    <w:p>
      <w:pPr>
        <w:pStyle w:val="3"/>
        <w:numPr>
          <w:ilvl w:val="1"/>
          <w:numId w:val="9"/>
        </w:numPr>
        <w:spacing w:before="120" w:after="120" w:line="360" w:lineRule="exact"/>
        <w:rPr>
          <w:rFonts w:cs="Times New Roman"/>
        </w:rPr>
      </w:pPr>
      <w:bookmarkStart w:id="162" w:name="_Toc3479"/>
      <w:bookmarkStart w:id="163" w:name="_Toc27942"/>
      <w:r>
        <w:rPr>
          <w:rFonts w:cs="Times New Roman"/>
        </w:rPr>
        <w:t>风险管控工程实施效果</w:t>
      </w:r>
      <w:bookmarkEnd w:id="162"/>
      <w:bookmarkEnd w:id="163"/>
    </w:p>
    <w:p>
      <w:pPr>
        <w:pStyle w:val="62"/>
        <w:tabs>
          <w:tab w:val="center" w:pos="4201"/>
          <w:tab w:val="right" w:leader="dot" w:pos="9298"/>
        </w:tabs>
        <w:spacing w:line="360" w:lineRule="exact"/>
        <w:rPr>
          <w:rStyle w:val="63"/>
          <w:rFonts w:ascii="Times New Roman"/>
        </w:rPr>
      </w:pPr>
      <w:r>
        <w:rPr>
          <w:rStyle w:val="63"/>
          <w:rFonts w:ascii="Times New Roman"/>
        </w:rPr>
        <w:t>工程实施效果评估主要内容包括：</w:t>
      </w:r>
    </w:p>
    <w:p>
      <w:pPr>
        <w:pStyle w:val="62"/>
        <w:tabs>
          <w:tab w:val="center" w:pos="4201"/>
          <w:tab w:val="right" w:leader="dot" w:pos="9298"/>
        </w:tabs>
        <w:spacing w:line="360" w:lineRule="exact"/>
        <w:rPr>
          <w:rStyle w:val="63"/>
          <w:rFonts w:ascii="Times New Roman"/>
        </w:rPr>
      </w:pPr>
      <w:r>
        <w:rPr>
          <w:rStyle w:val="63"/>
          <w:rFonts w:ascii="Times New Roman"/>
        </w:rPr>
        <w:t>（1）通过审查相关运输清单和接收函件，审核材料用量和使用计划是否与方案一致；通过审查地块风险管控过程监理记录和监测数据，核实材料的用量、施工进度和施工方法落实情况；</w:t>
      </w:r>
    </w:p>
    <w:p>
      <w:pPr>
        <w:pStyle w:val="62"/>
        <w:tabs>
          <w:tab w:val="center" w:pos="4201"/>
          <w:tab w:val="right" w:leader="dot" w:pos="9298"/>
        </w:tabs>
        <w:spacing w:line="360" w:lineRule="exact"/>
        <w:rPr>
          <w:rStyle w:val="63"/>
          <w:rFonts w:ascii="Times New Roman"/>
        </w:rPr>
      </w:pPr>
      <w:r>
        <w:rPr>
          <w:rStyle w:val="63"/>
          <w:rFonts w:ascii="Times New Roman"/>
        </w:rPr>
        <w:t>（2）通过监测地下水中污染物浓度、阻隔墙的渗透性和垂直阻隔墙连续性等参数评估地下水阻隔性能；</w:t>
      </w:r>
    </w:p>
    <w:p>
      <w:pPr>
        <w:pStyle w:val="62"/>
        <w:tabs>
          <w:tab w:val="center" w:pos="4201"/>
          <w:tab w:val="right" w:leader="dot" w:pos="9298"/>
        </w:tabs>
        <w:spacing w:line="360" w:lineRule="exact"/>
        <w:rPr>
          <w:rStyle w:val="63"/>
          <w:rFonts w:ascii="Times New Roman"/>
        </w:rPr>
      </w:pPr>
      <w:r>
        <w:rPr>
          <w:rStyle w:val="63"/>
          <w:rFonts w:ascii="Times New Roman"/>
        </w:rPr>
        <w:t>（3）对于明确要求不允许开发利用的污染地块，通过审查隔离设施、设立的风险标识牌、定期发布的监测公告等内容，评估制度控制的落实情况。</w:t>
      </w:r>
    </w:p>
    <w:p>
      <w:pPr>
        <w:pStyle w:val="3"/>
        <w:numPr>
          <w:ilvl w:val="1"/>
          <w:numId w:val="9"/>
        </w:numPr>
        <w:spacing w:before="120" w:after="120" w:line="360" w:lineRule="exact"/>
        <w:rPr>
          <w:rFonts w:cs="Times New Roman"/>
        </w:rPr>
      </w:pPr>
      <w:bookmarkStart w:id="164" w:name="_Toc1789"/>
      <w:bookmarkStart w:id="165" w:name="_Toc6406"/>
      <w:r>
        <w:rPr>
          <w:rFonts w:cs="Times New Roman"/>
        </w:rPr>
        <w:t>风险管控效果评估采样布点</w:t>
      </w:r>
      <w:bookmarkEnd w:id="164"/>
      <w:bookmarkEnd w:id="165"/>
    </w:p>
    <w:p>
      <w:pPr>
        <w:pStyle w:val="62"/>
        <w:tabs>
          <w:tab w:val="center" w:pos="4201"/>
          <w:tab w:val="right" w:leader="dot" w:pos="9298"/>
        </w:tabs>
        <w:spacing w:line="360" w:lineRule="exact"/>
        <w:rPr>
          <w:rStyle w:val="63"/>
          <w:rFonts w:ascii="Times New Roman"/>
        </w:rPr>
      </w:pPr>
      <w:r>
        <w:rPr>
          <w:rStyle w:val="63"/>
          <w:rFonts w:ascii="Times New Roman"/>
        </w:rPr>
        <w:t>对于固化/稳定化、封顶、阻隔填埋、地下水阻隔墙、可渗透反应墙等管控措施的布点：</w:t>
      </w:r>
    </w:p>
    <w:p>
      <w:pPr>
        <w:pStyle w:val="62"/>
        <w:tabs>
          <w:tab w:val="center" w:pos="4201"/>
          <w:tab w:val="right" w:leader="dot" w:pos="9298"/>
        </w:tabs>
        <w:spacing w:line="360" w:lineRule="exact"/>
        <w:rPr>
          <w:rStyle w:val="63"/>
          <w:rFonts w:ascii="Times New Roman"/>
        </w:rPr>
      </w:pPr>
      <w:r>
        <w:rPr>
          <w:rStyle w:val="63"/>
          <w:rFonts w:ascii="Times New Roman"/>
        </w:rPr>
        <w:t>布点数量与位置：结合风险管控措施的布置，在风险管控范围上游、内部、下游，以及可能涉及的潜在二次污染区域设置地下水监测井，利用调查评估与修复阶段监测井的，须符合修复效果评估采样条件。</w:t>
      </w:r>
    </w:p>
    <w:p>
      <w:pPr>
        <w:pStyle w:val="62"/>
        <w:tabs>
          <w:tab w:val="center" w:pos="4201"/>
          <w:tab w:val="right" w:leader="dot" w:pos="9298"/>
        </w:tabs>
        <w:spacing w:line="360" w:lineRule="exact"/>
        <w:rPr>
          <w:rStyle w:val="63"/>
          <w:rFonts w:ascii="Times New Roman"/>
        </w:rPr>
      </w:pPr>
      <w:r>
        <w:rPr>
          <w:rStyle w:val="63"/>
          <w:rFonts w:ascii="Times New Roman"/>
        </w:rPr>
        <w:t>采样周期和频次：一般在工程设施完工1年内开展；工程性能指标应按照工程实施评估周期和频次进行评估；污染物指标应采集4个批次的数据，建议每个季度采样一次，也可根据风险管控工程设计标准适当优化采样间隔，但应涵盖地下水丰、平、枯水期。</w:t>
      </w:r>
    </w:p>
    <w:p>
      <w:pPr>
        <w:pStyle w:val="3"/>
        <w:numPr>
          <w:ilvl w:val="0"/>
          <w:numId w:val="9"/>
        </w:numPr>
        <w:adjustRightInd w:val="0"/>
        <w:spacing w:before="240" w:after="240" w:line="360" w:lineRule="exact"/>
        <w:rPr>
          <w:rFonts w:cs="Times New Roman"/>
        </w:rPr>
      </w:pPr>
      <w:bookmarkStart w:id="166" w:name="_Toc27913"/>
      <w:bookmarkStart w:id="167" w:name="_Toc12114"/>
      <w:r>
        <w:rPr>
          <w:rFonts w:cs="Times New Roman"/>
        </w:rPr>
        <w:t>现场采样与实验室检测</w:t>
      </w:r>
      <w:bookmarkEnd w:id="166"/>
      <w:bookmarkEnd w:id="167"/>
      <w:r>
        <w:rPr>
          <w:rFonts w:cs="Times New Roman"/>
        </w:rPr>
        <w:t xml:space="preserve"> </w:t>
      </w:r>
    </w:p>
    <w:p>
      <w:pPr>
        <w:pStyle w:val="3"/>
        <w:numPr>
          <w:ilvl w:val="1"/>
          <w:numId w:val="9"/>
        </w:numPr>
        <w:spacing w:before="120" w:after="120" w:line="360" w:lineRule="exact"/>
        <w:rPr>
          <w:rFonts w:cs="Times New Roman"/>
        </w:rPr>
      </w:pPr>
      <w:bookmarkStart w:id="168" w:name="_Toc15544"/>
      <w:bookmarkStart w:id="169" w:name="_Toc15995"/>
      <w:bookmarkStart w:id="170" w:name="_Hlk36908599"/>
      <w:r>
        <w:rPr>
          <w:rFonts w:cs="Times New Roman"/>
        </w:rPr>
        <w:t>现场采样要求</w:t>
      </w:r>
      <w:bookmarkEnd w:id="168"/>
      <w:bookmarkEnd w:id="169"/>
    </w:p>
    <w:p>
      <w:pPr>
        <w:pStyle w:val="62"/>
        <w:tabs>
          <w:tab w:val="center" w:pos="4201"/>
          <w:tab w:val="right" w:leader="dot" w:pos="9298"/>
        </w:tabs>
        <w:spacing w:line="360" w:lineRule="exact"/>
        <w:rPr>
          <w:rStyle w:val="63"/>
          <w:rFonts w:ascii="Times New Roman"/>
        </w:rPr>
      </w:pPr>
      <w:r>
        <w:rPr>
          <w:rStyle w:val="63"/>
          <w:rFonts w:ascii="Times New Roman"/>
        </w:rPr>
        <w:t>土壤、地下水、底泥、地表水和残余废弃物样品的采样按照HJ 25.2的要求执行。</w:t>
      </w:r>
    </w:p>
    <w:p>
      <w:pPr>
        <w:pStyle w:val="3"/>
        <w:numPr>
          <w:ilvl w:val="1"/>
          <w:numId w:val="9"/>
        </w:numPr>
        <w:spacing w:before="120" w:after="120" w:line="360" w:lineRule="exact"/>
        <w:rPr>
          <w:rFonts w:cs="Times New Roman"/>
        </w:rPr>
      </w:pPr>
      <w:bookmarkStart w:id="171" w:name="_Toc2441"/>
      <w:bookmarkStart w:id="172" w:name="_Toc4194"/>
      <w:r>
        <w:rPr>
          <w:rFonts w:cs="Times New Roman"/>
        </w:rPr>
        <w:t>检测指标</w:t>
      </w:r>
      <w:bookmarkEnd w:id="171"/>
      <w:bookmarkEnd w:id="172"/>
    </w:p>
    <w:p>
      <w:pPr>
        <w:pStyle w:val="62"/>
        <w:tabs>
          <w:tab w:val="center" w:pos="4201"/>
          <w:tab w:val="right" w:leader="dot" w:pos="9298"/>
        </w:tabs>
        <w:spacing w:line="360" w:lineRule="exact"/>
        <w:rPr>
          <w:rStyle w:val="63"/>
          <w:rFonts w:ascii="Times New Roman"/>
        </w:rPr>
      </w:pPr>
      <w:r>
        <w:rPr>
          <w:rStyle w:val="63"/>
          <w:rFonts w:ascii="Times New Roman"/>
        </w:rPr>
        <w:t>（1）基坑土壤：为对应修复范围内土壤中目标污染物，存在相邻基坑时，应考虑相邻基坑土壤中的目标污染物。</w:t>
      </w:r>
    </w:p>
    <w:p>
      <w:pPr>
        <w:pStyle w:val="62"/>
        <w:tabs>
          <w:tab w:val="center" w:pos="4201"/>
          <w:tab w:val="right" w:leader="dot" w:pos="9298"/>
        </w:tabs>
        <w:spacing w:line="360" w:lineRule="exact"/>
        <w:rPr>
          <w:rStyle w:val="63"/>
          <w:rFonts w:ascii="Times New Roman"/>
        </w:rPr>
      </w:pPr>
      <w:r>
        <w:rPr>
          <w:rStyle w:val="63"/>
          <w:rFonts w:ascii="Times New Roman"/>
        </w:rPr>
        <w:t>（2）异位修复后土壤的检测指标：修复方案中确定的目标污染物，若外运到其他地块，应根据接受地环境要求增加检测指标。</w:t>
      </w:r>
    </w:p>
    <w:p>
      <w:pPr>
        <w:pStyle w:val="62"/>
        <w:tabs>
          <w:tab w:val="center" w:pos="4201"/>
          <w:tab w:val="right" w:leader="dot" w:pos="9298"/>
        </w:tabs>
        <w:spacing w:line="360" w:lineRule="exact"/>
        <w:rPr>
          <w:rStyle w:val="63"/>
          <w:rFonts w:ascii="Times New Roman"/>
        </w:rPr>
      </w:pPr>
      <w:r>
        <w:rPr>
          <w:rStyle w:val="63"/>
          <w:rFonts w:ascii="Times New Roman"/>
        </w:rPr>
        <w:t>（3）原位修复后的土壤：修复方案中确定的目标污染物。</w:t>
      </w:r>
    </w:p>
    <w:p>
      <w:pPr>
        <w:pStyle w:val="62"/>
        <w:tabs>
          <w:tab w:val="center" w:pos="4201"/>
          <w:tab w:val="right" w:leader="dot" w:pos="9298"/>
        </w:tabs>
        <w:spacing w:line="360" w:lineRule="exact"/>
        <w:rPr>
          <w:rStyle w:val="63"/>
          <w:rFonts w:ascii="Times New Roman"/>
        </w:rPr>
      </w:pPr>
      <w:r>
        <w:rPr>
          <w:rStyle w:val="63"/>
          <w:rFonts w:ascii="Times New Roman"/>
        </w:rPr>
        <w:t>（4）化学氧化/还原修复、微生物修复后土壤：产生的二次污染物，原则上根据修复方案中的可行性分析结果确定。</w:t>
      </w:r>
    </w:p>
    <w:p>
      <w:pPr>
        <w:pStyle w:val="62"/>
        <w:tabs>
          <w:tab w:val="center" w:pos="4201"/>
          <w:tab w:val="right" w:leader="dot" w:pos="9298"/>
        </w:tabs>
        <w:spacing w:line="360" w:lineRule="exact"/>
        <w:rPr>
          <w:rStyle w:val="63"/>
          <w:rFonts w:ascii="Times New Roman"/>
        </w:rPr>
      </w:pPr>
      <w:r>
        <w:rPr>
          <w:rStyle w:val="63"/>
          <w:rFonts w:ascii="Times New Roman"/>
        </w:rPr>
        <w:t>（5）风险管控效果评估指标：包括工程性能指标（抗压强度、渗透性能、阻隔性能、工程设施连续性与完整性等）和污染物指标（关注污染物浓度、浸出浓度、土壤气、室内空气等）。</w:t>
      </w:r>
    </w:p>
    <w:p>
      <w:pPr>
        <w:pStyle w:val="62"/>
        <w:tabs>
          <w:tab w:val="center" w:pos="4201"/>
          <w:tab w:val="right" w:leader="dot" w:pos="9298"/>
        </w:tabs>
        <w:spacing w:line="360" w:lineRule="exact"/>
        <w:rPr>
          <w:rStyle w:val="63"/>
          <w:rFonts w:ascii="Times New Roman"/>
        </w:rPr>
      </w:pPr>
      <w:r>
        <w:rPr>
          <w:rStyle w:val="63"/>
          <w:rFonts w:ascii="Times New Roman"/>
        </w:rPr>
        <w:t>（6）土壤理化指标（必要时）：包括地下水位、地下水流速、地球化学参数等。</w:t>
      </w:r>
    </w:p>
    <w:p>
      <w:pPr>
        <w:pStyle w:val="3"/>
        <w:numPr>
          <w:ilvl w:val="1"/>
          <w:numId w:val="9"/>
        </w:numPr>
        <w:spacing w:before="120" w:after="120" w:line="360" w:lineRule="exact"/>
        <w:rPr>
          <w:rFonts w:cs="Times New Roman"/>
        </w:rPr>
      </w:pPr>
      <w:bookmarkStart w:id="173" w:name="_Toc31719"/>
      <w:bookmarkStart w:id="174" w:name="_Toc27515"/>
      <w:r>
        <w:rPr>
          <w:rFonts w:cs="Times New Roman"/>
        </w:rPr>
        <w:t>实验室检测要求</w:t>
      </w:r>
      <w:bookmarkEnd w:id="173"/>
      <w:bookmarkEnd w:id="174"/>
    </w:p>
    <w:p>
      <w:pPr>
        <w:pStyle w:val="62"/>
        <w:tabs>
          <w:tab w:val="center" w:pos="4201"/>
          <w:tab w:val="right" w:leader="dot" w:pos="9298"/>
        </w:tabs>
        <w:spacing w:line="360" w:lineRule="exact"/>
        <w:rPr>
          <w:rStyle w:val="63"/>
          <w:rFonts w:ascii="Times New Roman"/>
        </w:rPr>
      </w:pPr>
      <w:r>
        <w:rPr>
          <w:rStyle w:val="63"/>
          <w:rFonts w:ascii="Times New Roman"/>
        </w:rPr>
        <w:t>效果评估检测过程选用的方法检测限应低于对应的污染物修复目标值。效果评估单位需委托具备相应检测资质的第三方机构开展样品分析工作。</w:t>
      </w:r>
    </w:p>
    <w:p>
      <w:pPr>
        <w:pStyle w:val="3"/>
        <w:numPr>
          <w:ilvl w:val="0"/>
          <w:numId w:val="9"/>
        </w:numPr>
        <w:adjustRightInd w:val="0"/>
        <w:spacing w:before="240" w:after="240" w:line="360" w:lineRule="exact"/>
        <w:rPr>
          <w:rFonts w:cs="Times New Roman"/>
        </w:rPr>
      </w:pPr>
      <w:bookmarkStart w:id="175" w:name="_Toc14808"/>
      <w:bookmarkStart w:id="176" w:name="_Toc13858"/>
      <w:r>
        <w:rPr>
          <w:rFonts w:cs="Times New Roman"/>
        </w:rPr>
        <w:t>土壤修复效果评估方法</w:t>
      </w:r>
      <w:bookmarkEnd w:id="175"/>
      <w:bookmarkEnd w:id="176"/>
    </w:p>
    <w:p>
      <w:pPr>
        <w:pStyle w:val="3"/>
        <w:numPr>
          <w:ilvl w:val="1"/>
          <w:numId w:val="9"/>
        </w:numPr>
        <w:spacing w:before="120" w:after="120" w:line="360" w:lineRule="exact"/>
        <w:rPr>
          <w:rFonts w:cs="Times New Roman"/>
        </w:rPr>
      </w:pPr>
      <w:bookmarkStart w:id="177" w:name="_Toc26537"/>
      <w:bookmarkStart w:id="178" w:name="_Toc20987"/>
      <w:r>
        <w:rPr>
          <w:rFonts w:cs="Times New Roman"/>
        </w:rPr>
        <w:t>评估标准</w:t>
      </w:r>
      <w:bookmarkEnd w:id="177"/>
      <w:bookmarkEnd w:id="178"/>
    </w:p>
    <w:p>
      <w:pPr>
        <w:pStyle w:val="62"/>
        <w:tabs>
          <w:tab w:val="center" w:pos="4201"/>
          <w:tab w:val="right" w:leader="dot" w:pos="9298"/>
        </w:tabs>
        <w:spacing w:line="360" w:lineRule="exact"/>
        <w:rPr>
          <w:rStyle w:val="63"/>
          <w:rFonts w:ascii="Times New Roman"/>
        </w:rPr>
      </w:pPr>
      <w:r>
        <w:rPr>
          <w:rStyle w:val="63"/>
          <w:rFonts w:ascii="Times New Roman"/>
        </w:rPr>
        <w:t>（1）基坑土壤：为地块风险评估报告中确定的修复目标值。</w:t>
      </w:r>
    </w:p>
    <w:p>
      <w:pPr>
        <w:pStyle w:val="62"/>
        <w:tabs>
          <w:tab w:val="center" w:pos="4201"/>
          <w:tab w:val="right" w:leader="dot" w:pos="9298"/>
        </w:tabs>
        <w:spacing w:line="360" w:lineRule="exact"/>
        <w:rPr>
          <w:rStyle w:val="63"/>
          <w:rFonts w:ascii="Times New Roman"/>
        </w:rPr>
      </w:pPr>
      <w:r>
        <w:rPr>
          <w:rStyle w:val="63"/>
          <w:rFonts w:ascii="Times New Roman"/>
        </w:rPr>
        <w:t>（2）异位修复后的土壤：应根据其去向确定。</w:t>
      </w:r>
    </w:p>
    <w:p>
      <w:pPr>
        <w:pStyle w:val="62"/>
        <w:tabs>
          <w:tab w:val="center" w:pos="4201"/>
          <w:tab w:val="right" w:leader="dot" w:pos="9298"/>
        </w:tabs>
        <w:spacing w:line="360" w:lineRule="exact"/>
        <w:rPr>
          <w:rStyle w:val="63"/>
          <w:rFonts w:ascii="Times New Roman"/>
        </w:rPr>
      </w:pPr>
      <w:r>
        <w:rPr>
          <w:rStyle w:val="63"/>
          <w:rFonts w:ascii="Times New Roman"/>
        </w:rPr>
        <w:t>若修复后回填到原基坑，评估标准为风险评估报告中确定的目标污染物的修复目标值；</w:t>
      </w:r>
    </w:p>
    <w:p>
      <w:pPr>
        <w:pStyle w:val="62"/>
        <w:tabs>
          <w:tab w:val="center" w:pos="4201"/>
          <w:tab w:val="right" w:leader="dot" w:pos="9298"/>
        </w:tabs>
        <w:spacing w:line="360" w:lineRule="exact"/>
        <w:rPr>
          <w:rStyle w:val="63"/>
          <w:rFonts w:ascii="Times New Roman"/>
        </w:rPr>
      </w:pPr>
      <w:r>
        <w:rPr>
          <w:rStyle w:val="63"/>
          <w:rFonts w:ascii="Times New Roman"/>
        </w:rPr>
        <w:t>若修复后外运到其他地块，应根据接收地土壤暴露情景进行风险评估确定评估标准值，或采用GB 36600中接收地用地类型对应的筛选值，取两者中的较高者作为评估标准值，并确保接收地的地下水和环境安全。</w:t>
      </w:r>
    </w:p>
    <w:p>
      <w:pPr>
        <w:pStyle w:val="62"/>
        <w:tabs>
          <w:tab w:val="center" w:pos="4201"/>
          <w:tab w:val="right" w:leader="dot" w:pos="9298"/>
        </w:tabs>
        <w:spacing w:line="360" w:lineRule="exact"/>
        <w:rPr>
          <w:rStyle w:val="63"/>
          <w:rFonts w:ascii="Times New Roman"/>
        </w:rPr>
      </w:pPr>
      <w:r>
        <w:rPr>
          <w:rStyle w:val="63"/>
          <w:rFonts w:ascii="Times New Roman"/>
        </w:rPr>
        <w:t>（3）原位修复后的土壤：为地块修复方案或实施方案中确定的修复目标值。</w:t>
      </w:r>
    </w:p>
    <w:p>
      <w:pPr>
        <w:pStyle w:val="62"/>
        <w:tabs>
          <w:tab w:val="center" w:pos="4201"/>
          <w:tab w:val="right" w:leader="dot" w:pos="9298"/>
        </w:tabs>
        <w:spacing w:line="360" w:lineRule="exact"/>
        <w:rPr>
          <w:rStyle w:val="63"/>
          <w:rFonts w:ascii="Times New Roman"/>
        </w:rPr>
      </w:pPr>
      <w:r>
        <w:rPr>
          <w:rStyle w:val="63"/>
          <w:rFonts w:ascii="Times New Roman"/>
        </w:rPr>
        <w:t>（4）化学氧化/还原修复、微生物修复潜在二次污染物的评估标准值，根据暴露情景进行风险评估确定其评估标准值。</w:t>
      </w:r>
    </w:p>
    <w:p>
      <w:pPr>
        <w:pStyle w:val="62"/>
        <w:tabs>
          <w:tab w:val="center" w:pos="4201"/>
          <w:tab w:val="right" w:leader="dot" w:pos="9298"/>
        </w:tabs>
        <w:spacing w:line="360" w:lineRule="exact"/>
        <w:rPr>
          <w:rStyle w:val="63"/>
          <w:rFonts w:ascii="Times New Roman"/>
        </w:rPr>
      </w:pPr>
      <w:bookmarkStart w:id="179" w:name="_Hlk38486204"/>
      <w:r>
        <w:rPr>
          <w:rStyle w:val="63"/>
          <w:rFonts w:ascii="Times New Roman"/>
        </w:rPr>
        <w:t>（5）采用固化/稳定化处理且回填的土壤：根据固化/稳定化产物的处置方式和去向执行相应的标准要求。</w:t>
      </w:r>
      <w:bookmarkEnd w:id="170"/>
      <w:bookmarkEnd w:id="179"/>
    </w:p>
    <w:p>
      <w:pPr>
        <w:pStyle w:val="3"/>
        <w:numPr>
          <w:ilvl w:val="1"/>
          <w:numId w:val="9"/>
        </w:numPr>
        <w:spacing w:before="120" w:after="120" w:line="360" w:lineRule="exact"/>
        <w:rPr>
          <w:rFonts w:cs="Times New Roman"/>
        </w:rPr>
      </w:pPr>
      <w:bookmarkStart w:id="180" w:name="_Toc22880"/>
      <w:bookmarkStart w:id="181" w:name="_Toc13777"/>
      <w:r>
        <w:rPr>
          <w:rFonts w:cs="Times New Roman"/>
        </w:rPr>
        <w:t>评估方法</w:t>
      </w:r>
      <w:bookmarkEnd w:id="180"/>
      <w:bookmarkEnd w:id="181"/>
    </w:p>
    <w:p>
      <w:pPr>
        <w:pStyle w:val="62"/>
        <w:tabs>
          <w:tab w:val="center" w:pos="4201"/>
          <w:tab w:val="right" w:leader="dot" w:pos="9298"/>
        </w:tabs>
        <w:spacing w:line="360" w:lineRule="exact"/>
        <w:rPr>
          <w:rStyle w:val="63"/>
          <w:rFonts w:ascii="Times New Roman"/>
        </w:rPr>
      </w:pPr>
      <w:r>
        <w:rPr>
          <w:rStyle w:val="63"/>
          <w:rFonts w:ascii="Times New Roman"/>
        </w:rPr>
        <w:t>样品采集和检测后，应分析检测数据，根据污染物浓度是否达到效果评估标准，判定地块是否达到修复目标要求。若效果评估未通过，应指出不达标区域，便于项目后期管理。</w:t>
      </w:r>
    </w:p>
    <w:p>
      <w:pPr>
        <w:pStyle w:val="62"/>
        <w:tabs>
          <w:tab w:val="center" w:pos="4201"/>
          <w:tab w:val="right" w:leader="dot" w:pos="9298"/>
        </w:tabs>
        <w:spacing w:line="360" w:lineRule="exact"/>
        <w:rPr>
          <w:rStyle w:val="63"/>
          <w:rFonts w:ascii="Times New Roman"/>
        </w:rPr>
      </w:pPr>
      <w:r>
        <w:rPr>
          <w:rStyle w:val="63"/>
          <w:rFonts w:ascii="Times New Roman"/>
        </w:rPr>
        <w:t>原则上统计分析法应在单个基坑或单个修复范围（即效果评估单元）内分别进行。</w:t>
      </w:r>
    </w:p>
    <w:p>
      <w:pPr>
        <w:pStyle w:val="62"/>
        <w:tabs>
          <w:tab w:val="center" w:pos="4201"/>
          <w:tab w:val="right" w:leader="dot" w:pos="9298"/>
        </w:tabs>
        <w:spacing w:line="360" w:lineRule="exact"/>
        <w:rPr>
          <w:rStyle w:val="63"/>
          <w:rFonts w:ascii="Times New Roman"/>
        </w:rPr>
      </w:pPr>
      <w:r>
        <w:rPr>
          <w:rStyle w:val="63"/>
          <w:rFonts w:ascii="Times New Roman"/>
        </w:rPr>
        <w:t>（1）当效果评估单元样本数量＜8个时，将样品检测值与修复效果评估标准逐个对比，样品检测值低于或等于评估标准时，则判定该样品点位为合格点位。</w:t>
      </w:r>
    </w:p>
    <w:p>
      <w:pPr>
        <w:pStyle w:val="62"/>
        <w:tabs>
          <w:tab w:val="center" w:pos="4201"/>
          <w:tab w:val="right" w:leader="dot" w:pos="9298"/>
        </w:tabs>
        <w:spacing w:line="360" w:lineRule="exact"/>
        <w:rPr>
          <w:rStyle w:val="63"/>
          <w:rFonts w:ascii="Times New Roman"/>
        </w:rPr>
      </w:pPr>
      <w:r>
        <w:rPr>
          <w:rStyle w:val="63"/>
          <w:rFonts w:ascii="Times New Roman"/>
        </w:rPr>
        <w:t>（2）当效果评估单元样本数量≥8个时，可采用统计分析法或逐个比对法进行评估：</w:t>
      </w:r>
    </w:p>
    <w:p>
      <w:pPr>
        <w:pStyle w:val="62"/>
        <w:tabs>
          <w:tab w:val="center" w:pos="4201"/>
          <w:tab w:val="right" w:leader="dot" w:pos="9298"/>
        </w:tabs>
        <w:spacing w:line="360" w:lineRule="exact"/>
        <w:rPr>
          <w:rStyle w:val="63"/>
          <w:rFonts w:ascii="Times New Roman"/>
        </w:rPr>
      </w:pPr>
      <w:r>
        <w:rPr>
          <w:rStyle w:val="63"/>
          <w:rFonts w:ascii="Times New Roman"/>
        </w:rPr>
        <w:fldChar w:fldCharType="begin"/>
      </w:r>
      <w:r>
        <w:rPr>
          <w:rStyle w:val="63"/>
          <w:rFonts w:ascii="Times New Roman"/>
        </w:rPr>
        <w:instrText xml:space="preserve"> = 1 \* GB3 </w:instrText>
      </w:r>
      <w:r>
        <w:rPr>
          <w:rStyle w:val="63"/>
          <w:rFonts w:ascii="Times New Roman"/>
        </w:rPr>
        <w:fldChar w:fldCharType="separate"/>
      </w:r>
      <w:r>
        <w:rPr>
          <w:rStyle w:val="63"/>
          <w:rFonts w:ascii="Times New Roman"/>
        </w:rPr>
        <w:t>①</w:t>
      </w:r>
      <w:r>
        <w:rPr>
          <w:rStyle w:val="63"/>
          <w:rFonts w:ascii="Times New Roman"/>
        </w:rPr>
        <w:fldChar w:fldCharType="end"/>
      </w:r>
      <w:r>
        <w:rPr>
          <w:rStyle w:val="63"/>
          <w:rFonts w:ascii="Times New Roman"/>
        </w:rPr>
        <w:t>统计分析法</w:t>
      </w:r>
    </w:p>
    <w:p>
      <w:pPr>
        <w:pStyle w:val="62"/>
        <w:tabs>
          <w:tab w:val="center" w:pos="4201"/>
          <w:tab w:val="right" w:leader="dot" w:pos="9298"/>
        </w:tabs>
        <w:spacing w:line="360" w:lineRule="exact"/>
        <w:rPr>
          <w:rStyle w:val="63"/>
          <w:rFonts w:ascii="Times New Roman"/>
        </w:rPr>
      </w:pPr>
      <w:r>
        <w:rPr>
          <w:rStyle w:val="63"/>
          <w:rFonts w:ascii="Times New Roman"/>
        </w:rPr>
        <w:t>效果评估单元样品均值的95%置信上限小于等于评估标准，且样品浓度最大值不超过修复效果评估标准值的2倍时，认为评估单元达到修复效果。</w:t>
      </w:r>
    </w:p>
    <w:p>
      <w:pPr>
        <w:pStyle w:val="62"/>
        <w:tabs>
          <w:tab w:val="center" w:pos="4201"/>
          <w:tab w:val="right" w:leader="dot" w:pos="9298"/>
        </w:tabs>
        <w:spacing w:line="360" w:lineRule="exact"/>
        <w:rPr>
          <w:rStyle w:val="63"/>
          <w:rFonts w:ascii="Times New Roman"/>
        </w:rPr>
      </w:pPr>
      <w:r>
        <w:rPr>
          <w:rStyle w:val="63"/>
          <w:rFonts w:ascii="Times New Roman"/>
        </w:rPr>
        <w:t>对于单个点位修复未达标的污染土壤不超过25 m</w:t>
      </w:r>
      <w:r>
        <w:rPr>
          <w:rStyle w:val="63"/>
          <w:rFonts w:ascii="Times New Roman"/>
          <w:vertAlign w:val="superscript"/>
        </w:rPr>
        <w:t>3</w:t>
      </w:r>
      <w:r>
        <w:rPr>
          <w:rStyle w:val="63"/>
          <w:rFonts w:ascii="Times New Roman"/>
        </w:rPr>
        <w:t>的，整个地块修复未达标土方量不超过75 m</w:t>
      </w:r>
      <w:r>
        <w:rPr>
          <w:rStyle w:val="63"/>
          <w:rFonts w:ascii="Times New Roman"/>
          <w:vertAlign w:val="superscript"/>
        </w:rPr>
        <w:t>3</w:t>
      </w:r>
      <w:r>
        <w:rPr>
          <w:rStyle w:val="63"/>
          <w:rFonts w:ascii="Times New Roman"/>
        </w:rPr>
        <w:t>的，则可认为地块总体达到修复效果。</w:t>
      </w:r>
    </w:p>
    <w:p>
      <w:pPr>
        <w:pStyle w:val="62"/>
        <w:tabs>
          <w:tab w:val="center" w:pos="4201"/>
          <w:tab w:val="right" w:leader="dot" w:pos="9298"/>
        </w:tabs>
        <w:spacing w:line="360" w:lineRule="exact"/>
        <w:rPr>
          <w:rStyle w:val="63"/>
          <w:rFonts w:ascii="Times New Roman"/>
        </w:rPr>
      </w:pPr>
      <w:r>
        <w:rPr>
          <w:rStyle w:val="63"/>
          <w:rFonts w:ascii="Times New Roman"/>
        </w:rPr>
        <w:t>对于低于报告限的数据，用报告限数值进行统计分析。</w:t>
      </w:r>
    </w:p>
    <w:p>
      <w:pPr>
        <w:pStyle w:val="62"/>
        <w:tabs>
          <w:tab w:val="center" w:pos="4201"/>
          <w:tab w:val="right" w:leader="dot" w:pos="9298"/>
        </w:tabs>
        <w:spacing w:line="360" w:lineRule="exact"/>
        <w:rPr>
          <w:rStyle w:val="63"/>
          <w:rFonts w:ascii="Times New Roman"/>
        </w:rPr>
      </w:pPr>
      <w:r>
        <w:rPr>
          <w:rStyle w:val="63"/>
          <w:rFonts w:ascii="Times New Roman"/>
        </w:rPr>
        <w:fldChar w:fldCharType="begin"/>
      </w:r>
      <w:r>
        <w:rPr>
          <w:rStyle w:val="63"/>
          <w:rFonts w:ascii="Times New Roman"/>
        </w:rPr>
        <w:instrText xml:space="preserve"> = 2 \* GB3 </w:instrText>
      </w:r>
      <w:r>
        <w:rPr>
          <w:rStyle w:val="63"/>
          <w:rFonts w:ascii="Times New Roman"/>
        </w:rPr>
        <w:fldChar w:fldCharType="separate"/>
      </w:r>
      <w:r>
        <w:rPr>
          <w:rStyle w:val="63"/>
          <w:rFonts w:ascii="Times New Roman"/>
        </w:rPr>
        <w:t>②</w:t>
      </w:r>
      <w:r>
        <w:rPr>
          <w:rStyle w:val="63"/>
          <w:rFonts w:ascii="Times New Roman"/>
        </w:rPr>
        <w:fldChar w:fldCharType="end"/>
      </w:r>
      <w:r>
        <w:rPr>
          <w:rStyle w:val="63"/>
          <w:rFonts w:ascii="Times New Roman"/>
        </w:rPr>
        <w:t>逐个比对法</w:t>
      </w:r>
    </w:p>
    <w:p>
      <w:pPr>
        <w:pStyle w:val="62"/>
        <w:tabs>
          <w:tab w:val="center" w:pos="4201"/>
          <w:tab w:val="right" w:leader="dot" w:pos="9298"/>
        </w:tabs>
        <w:spacing w:line="360" w:lineRule="exact"/>
        <w:rPr>
          <w:rStyle w:val="63"/>
          <w:rFonts w:ascii="Times New Roman"/>
        </w:rPr>
      </w:pPr>
      <w:r>
        <w:rPr>
          <w:rStyle w:val="63"/>
          <w:rFonts w:ascii="Times New Roman"/>
        </w:rPr>
        <w:t>当同一效果评估单元的同一污染物平行样数量≥4组时，结合t检验（参照HJ 25.5 附录C）分析采样和检测过程中的误差，确定检测值与修复效果评估值的差异。</w:t>
      </w:r>
    </w:p>
    <w:p>
      <w:pPr>
        <w:pStyle w:val="62"/>
        <w:tabs>
          <w:tab w:val="center" w:pos="4201"/>
          <w:tab w:val="right" w:leader="dot" w:pos="9298"/>
        </w:tabs>
        <w:spacing w:line="360" w:lineRule="exact"/>
        <w:rPr>
          <w:rStyle w:val="63"/>
          <w:rFonts w:ascii="Times New Roman"/>
        </w:rPr>
      </w:pPr>
      <w:r>
        <w:rPr>
          <w:rStyle w:val="63"/>
          <w:rFonts w:ascii="Times New Roman"/>
        </w:rPr>
        <w:t>若各样检测值显著低于评估标准或与评估标准差异不显著，则认为评估单元达到修复效果。若某样品的检测结果显著高于评估标准，则认为未达到修复效果。</w:t>
      </w:r>
    </w:p>
    <w:p>
      <w:pPr>
        <w:pStyle w:val="3"/>
        <w:numPr>
          <w:ilvl w:val="0"/>
          <w:numId w:val="9"/>
        </w:numPr>
        <w:adjustRightInd w:val="0"/>
        <w:spacing w:before="240" w:after="240" w:line="360" w:lineRule="exact"/>
        <w:rPr>
          <w:rFonts w:cs="Times New Roman"/>
        </w:rPr>
      </w:pPr>
      <w:bookmarkStart w:id="182" w:name="_Toc17076"/>
      <w:bookmarkStart w:id="183" w:name="_Toc7572"/>
      <w:r>
        <w:rPr>
          <w:rFonts w:cs="Times New Roman"/>
        </w:rPr>
        <w:t>地下水修复效果评估方法</w:t>
      </w:r>
      <w:bookmarkEnd w:id="182"/>
      <w:bookmarkEnd w:id="183"/>
    </w:p>
    <w:p>
      <w:pPr>
        <w:pStyle w:val="3"/>
        <w:numPr>
          <w:ilvl w:val="1"/>
          <w:numId w:val="9"/>
        </w:numPr>
        <w:spacing w:before="120" w:after="120" w:line="360" w:lineRule="exact"/>
        <w:rPr>
          <w:rFonts w:cs="Times New Roman"/>
        </w:rPr>
      </w:pPr>
      <w:bookmarkStart w:id="184" w:name="_Toc31583"/>
      <w:bookmarkStart w:id="185" w:name="_Toc16455"/>
      <w:r>
        <w:rPr>
          <w:rFonts w:cs="Times New Roman"/>
        </w:rPr>
        <w:t>评估标准</w:t>
      </w:r>
      <w:bookmarkEnd w:id="184"/>
      <w:bookmarkEnd w:id="185"/>
    </w:p>
    <w:p>
      <w:pPr>
        <w:pStyle w:val="62"/>
        <w:tabs>
          <w:tab w:val="center" w:pos="4201"/>
          <w:tab w:val="right" w:leader="dot" w:pos="9298"/>
        </w:tabs>
        <w:spacing w:line="360" w:lineRule="exact"/>
        <w:rPr>
          <w:rStyle w:val="63"/>
          <w:rFonts w:ascii="Times New Roman"/>
        </w:rPr>
      </w:pPr>
      <w:r>
        <w:rPr>
          <w:rStyle w:val="63"/>
          <w:rFonts w:ascii="Times New Roman"/>
        </w:rPr>
        <w:t>（1）修复后地下水的评估标准值为地块修复方案中的目标污染物的修复目标值。</w:t>
      </w:r>
    </w:p>
    <w:p>
      <w:pPr>
        <w:pStyle w:val="62"/>
        <w:tabs>
          <w:tab w:val="center" w:pos="4201"/>
          <w:tab w:val="right" w:leader="dot" w:pos="9298"/>
        </w:tabs>
        <w:spacing w:line="360" w:lineRule="exact"/>
        <w:rPr>
          <w:rStyle w:val="63"/>
          <w:rFonts w:ascii="Times New Roman"/>
        </w:rPr>
      </w:pPr>
      <w:r>
        <w:rPr>
          <w:rStyle w:val="63"/>
          <w:rFonts w:ascii="Times New Roman"/>
        </w:rPr>
        <w:t>（2）若修复目标值有变，应结合修复工程实际情况与管理要求调整修复效果评估标准值</w:t>
      </w:r>
      <w:r>
        <w:rPr>
          <w:rStyle w:val="63"/>
          <w:rFonts w:hint="eastAsia" w:ascii="Times New Roman"/>
        </w:rPr>
        <w:t>。</w:t>
      </w:r>
    </w:p>
    <w:p>
      <w:pPr>
        <w:pStyle w:val="62"/>
        <w:tabs>
          <w:tab w:val="center" w:pos="4201"/>
          <w:tab w:val="right" w:leader="dot" w:pos="9298"/>
        </w:tabs>
        <w:spacing w:line="360" w:lineRule="exact"/>
        <w:rPr>
          <w:rStyle w:val="63"/>
          <w:rFonts w:ascii="Times New Roman"/>
        </w:rPr>
      </w:pPr>
      <w:r>
        <w:rPr>
          <w:rStyle w:val="63"/>
          <w:rFonts w:ascii="Times New Roman"/>
        </w:rPr>
        <w:t>（3）化学氧化、化学还原、微生物修复产生的二次污染的评估标准，原则上应根据修复技术方案中的可行性分析结果确定，也可参照GB/T 14848中地下水使用功能对应标准值执行，或根据暴露情景进行风险评估确定，风险评估可参照HJ 25.3执行。</w:t>
      </w:r>
    </w:p>
    <w:p>
      <w:pPr>
        <w:pStyle w:val="3"/>
        <w:numPr>
          <w:ilvl w:val="1"/>
          <w:numId w:val="9"/>
        </w:numPr>
        <w:spacing w:before="120" w:after="120" w:line="360" w:lineRule="exact"/>
        <w:rPr>
          <w:rFonts w:cs="Times New Roman"/>
        </w:rPr>
      </w:pPr>
      <w:bookmarkStart w:id="186" w:name="_Toc6188"/>
      <w:bookmarkStart w:id="187" w:name="_Toc23001"/>
      <w:r>
        <w:rPr>
          <w:rFonts w:cs="Times New Roman"/>
        </w:rPr>
        <w:t>评估方法</w:t>
      </w:r>
      <w:bookmarkEnd w:id="186"/>
      <w:bookmarkEnd w:id="187"/>
    </w:p>
    <w:p>
      <w:pPr>
        <w:pStyle w:val="62"/>
        <w:tabs>
          <w:tab w:val="center" w:pos="4201"/>
          <w:tab w:val="right" w:leader="dot" w:pos="9298"/>
        </w:tabs>
        <w:spacing w:line="360" w:lineRule="exact"/>
        <w:rPr>
          <w:rStyle w:val="63"/>
          <w:rFonts w:ascii="Times New Roman"/>
        </w:rPr>
      </w:pPr>
      <w:r>
        <w:rPr>
          <w:rStyle w:val="63"/>
          <w:rFonts w:ascii="Times New Roman"/>
        </w:rPr>
        <w:t>（1）每口监测井中的检测指标均持续稳定达标，可认为地下水达到修复效果。</w:t>
      </w:r>
    </w:p>
    <w:p>
      <w:pPr>
        <w:pStyle w:val="62"/>
        <w:tabs>
          <w:tab w:val="center" w:pos="4201"/>
          <w:tab w:val="right" w:leader="dot" w:pos="9298"/>
        </w:tabs>
        <w:spacing w:line="360" w:lineRule="exact"/>
        <w:rPr>
          <w:rStyle w:val="63"/>
          <w:rFonts w:ascii="Times New Roman"/>
        </w:rPr>
      </w:pPr>
      <w:r>
        <w:rPr>
          <w:rStyle w:val="63"/>
          <w:rFonts w:ascii="Times New Roman"/>
        </w:rPr>
        <w:t>（2）地下水中污染物浓度呈现稳态或下降趋势，可判断地下水达到修复效果。</w:t>
      </w:r>
    </w:p>
    <w:p>
      <w:pPr>
        <w:pStyle w:val="62"/>
        <w:tabs>
          <w:tab w:val="center" w:pos="4201"/>
          <w:tab w:val="right" w:leader="dot" w:pos="9298"/>
        </w:tabs>
        <w:spacing w:line="360" w:lineRule="exact"/>
        <w:rPr>
          <w:rStyle w:val="63"/>
          <w:rFonts w:ascii="Times New Roman"/>
        </w:rPr>
      </w:pPr>
      <w:r>
        <w:rPr>
          <w:rStyle w:val="63"/>
          <w:rFonts w:ascii="Times New Roman"/>
        </w:rPr>
        <w:t>（3）采用地下水中污染物浓度趋势分析确定污染物浓度呈现稳态进行判断。在95%置信水平下，趋势线斜率与 0 没有显著差异，说明浓度呈现稳态。</w:t>
      </w:r>
    </w:p>
    <w:p>
      <w:pPr>
        <w:pStyle w:val="3"/>
        <w:numPr>
          <w:ilvl w:val="0"/>
          <w:numId w:val="9"/>
        </w:numPr>
        <w:adjustRightInd w:val="0"/>
        <w:spacing w:before="240" w:after="240" w:line="360" w:lineRule="exact"/>
        <w:rPr>
          <w:rFonts w:cs="Times New Roman"/>
        </w:rPr>
      </w:pPr>
      <w:bookmarkStart w:id="188" w:name="_Toc12713"/>
      <w:bookmarkStart w:id="189" w:name="_Toc9901"/>
      <w:r>
        <w:rPr>
          <w:rFonts w:cs="Times New Roman"/>
        </w:rPr>
        <w:t>风险管控效果评估方法</w:t>
      </w:r>
      <w:bookmarkEnd w:id="188"/>
      <w:bookmarkEnd w:id="189"/>
    </w:p>
    <w:p>
      <w:pPr>
        <w:pStyle w:val="3"/>
        <w:numPr>
          <w:ilvl w:val="1"/>
          <w:numId w:val="9"/>
        </w:numPr>
        <w:spacing w:before="120" w:after="120" w:line="360" w:lineRule="exact"/>
        <w:rPr>
          <w:rFonts w:cs="Times New Roman"/>
        </w:rPr>
      </w:pPr>
      <w:bookmarkStart w:id="190" w:name="_Toc27247"/>
      <w:bookmarkStart w:id="191" w:name="_Toc30217"/>
      <w:r>
        <w:rPr>
          <w:rFonts w:cs="Times New Roman"/>
        </w:rPr>
        <w:t>评估标准</w:t>
      </w:r>
      <w:bookmarkEnd w:id="190"/>
      <w:bookmarkEnd w:id="191"/>
    </w:p>
    <w:p>
      <w:pPr>
        <w:pStyle w:val="62"/>
        <w:tabs>
          <w:tab w:val="center" w:pos="4201"/>
          <w:tab w:val="right" w:leader="dot" w:pos="9298"/>
        </w:tabs>
        <w:spacing w:line="360" w:lineRule="exact"/>
        <w:rPr>
          <w:rStyle w:val="63"/>
          <w:rFonts w:ascii="Times New Roman"/>
        </w:rPr>
      </w:pPr>
      <w:r>
        <w:rPr>
          <w:rStyle w:val="63"/>
          <w:rFonts w:ascii="Times New Roman"/>
        </w:rPr>
        <w:t>风险管控措施下游地下水中污染物浓度应持续下降，固化/稳定化后土壤中污染物浸出浓度应达到接受地地下水用途对应标准或不会对地下水造成危害。</w:t>
      </w:r>
    </w:p>
    <w:p>
      <w:pPr>
        <w:pStyle w:val="3"/>
        <w:numPr>
          <w:ilvl w:val="1"/>
          <w:numId w:val="9"/>
        </w:numPr>
        <w:spacing w:before="120" w:after="120" w:line="360" w:lineRule="exact"/>
        <w:rPr>
          <w:rFonts w:cs="Times New Roman"/>
        </w:rPr>
      </w:pPr>
      <w:bookmarkStart w:id="192" w:name="_Toc7948"/>
      <w:bookmarkStart w:id="193" w:name="_Toc29096"/>
      <w:r>
        <w:rPr>
          <w:rFonts w:cs="Times New Roman"/>
        </w:rPr>
        <w:t>评估方法</w:t>
      </w:r>
      <w:bookmarkEnd w:id="192"/>
      <w:bookmarkEnd w:id="193"/>
    </w:p>
    <w:p>
      <w:pPr>
        <w:pStyle w:val="62"/>
        <w:tabs>
          <w:tab w:val="center" w:pos="4201"/>
          <w:tab w:val="right" w:leader="dot" w:pos="9298"/>
        </w:tabs>
        <w:spacing w:line="360" w:lineRule="exact"/>
        <w:rPr>
          <w:rStyle w:val="63"/>
          <w:rFonts w:ascii="Times New Roman"/>
        </w:rPr>
      </w:pPr>
      <w:r>
        <w:rPr>
          <w:rStyle w:val="63"/>
          <w:rFonts w:ascii="Times New Roman"/>
        </w:rPr>
        <w:t>若工程性指标和污染物指标均达到评估标准，则判断风险管控达到预期效果，可对风险管控措施开展运行与维护。</w:t>
      </w:r>
    </w:p>
    <w:p>
      <w:pPr>
        <w:pStyle w:val="62"/>
        <w:tabs>
          <w:tab w:val="center" w:pos="4201"/>
          <w:tab w:val="right" w:leader="dot" w:pos="9298"/>
        </w:tabs>
        <w:spacing w:line="360" w:lineRule="exact"/>
        <w:rPr>
          <w:rStyle w:val="63"/>
          <w:rFonts w:ascii="Times New Roman"/>
        </w:rPr>
      </w:pPr>
      <w:r>
        <w:rPr>
          <w:rStyle w:val="63"/>
          <w:rFonts w:ascii="Times New Roman"/>
        </w:rPr>
        <w:t>若工程性能指标或污染物指标未达到评估标准，则判断风险管控未达到预期效果，须对风险管控措施进行优化或修理。</w:t>
      </w:r>
    </w:p>
    <w:p>
      <w:pPr>
        <w:pStyle w:val="3"/>
        <w:numPr>
          <w:ilvl w:val="0"/>
          <w:numId w:val="9"/>
        </w:numPr>
        <w:adjustRightInd w:val="0"/>
        <w:spacing w:before="240" w:after="240" w:line="360" w:lineRule="exact"/>
        <w:rPr>
          <w:rFonts w:cs="Times New Roman"/>
        </w:rPr>
      </w:pPr>
      <w:bookmarkStart w:id="194" w:name="_Toc1970"/>
      <w:bookmarkStart w:id="195" w:name="_Toc12491"/>
      <w:r>
        <w:rPr>
          <w:rFonts w:cs="Times New Roman"/>
        </w:rPr>
        <w:t>后期环境管理计划</w:t>
      </w:r>
      <w:bookmarkEnd w:id="194"/>
      <w:bookmarkEnd w:id="195"/>
      <w:r>
        <w:rPr>
          <w:rFonts w:cs="Times New Roman"/>
        </w:rPr>
        <w:t xml:space="preserve">  </w:t>
      </w:r>
    </w:p>
    <w:p>
      <w:pPr>
        <w:pStyle w:val="62"/>
        <w:tabs>
          <w:tab w:val="center" w:pos="4201"/>
          <w:tab w:val="right" w:leader="dot" w:pos="9298"/>
        </w:tabs>
        <w:spacing w:line="360" w:lineRule="exact"/>
        <w:rPr>
          <w:rStyle w:val="63"/>
          <w:rFonts w:ascii="Times New Roman"/>
        </w:rPr>
      </w:pPr>
      <w:r>
        <w:rPr>
          <w:rStyle w:val="63"/>
          <w:rFonts w:ascii="Times New Roman"/>
        </w:rPr>
        <w:t>需进行后期环境管理的地块类型：修复后土壤中污染物浓度未达到GB 36600第一类用地筛选值的地块或实施风险管控的地块。</w:t>
      </w:r>
    </w:p>
    <w:p>
      <w:pPr>
        <w:pStyle w:val="62"/>
        <w:tabs>
          <w:tab w:val="center" w:pos="4201"/>
          <w:tab w:val="right" w:leader="dot" w:pos="9298"/>
        </w:tabs>
        <w:spacing w:line="360" w:lineRule="exact"/>
        <w:rPr>
          <w:rStyle w:val="63"/>
          <w:rFonts w:ascii="Times New Roman"/>
        </w:rPr>
      </w:pPr>
      <w:r>
        <w:rPr>
          <w:rStyle w:val="63"/>
          <w:rFonts w:ascii="Times New Roman"/>
        </w:rPr>
        <w:t>后期环境管理的时限：直至地块土壤中污染物浓度达到GB 36600第一类用地筛选值、地下水中污染物达到GB/T 14848中地下水使用功能对应标准值为止。</w:t>
      </w:r>
    </w:p>
    <w:p>
      <w:pPr>
        <w:pStyle w:val="62"/>
        <w:tabs>
          <w:tab w:val="center" w:pos="4201"/>
          <w:tab w:val="right" w:leader="dot" w:pos="9298"/>
        </w:tabs>
        <w:spacing w:line="360" w:lineRule="exact"/>
        <w:rPr>
          <w:rStyle w:val="63"/>
          <w:rFonts w:ascii="Times New Roman"/>
        </w:rPr>
      </w:pPr>
      <w:r>
        <w:rPr>
          <w:rStyle w:val="63"/>
          <w:rFonts w:ascii="Times New Roman"/>
        </w:rPr>
        <w:t>长期环境监测频率：地下水原则上每1~2年开展一次，可视情况调整。</w:t>
      </w:r>
    </w:p>
    <w:p>
      <w:pPr>
        <w:pStyle w:val="62"/>
        <w:tabs>
          <w:tab w:val="center" w:pos="4201"/>
          <w:tab w:val="right" w:leader="dot" w:pos="9298"/>
        </w:tabs>
        <w:spacing w:line="360" w:lineRule="exact"/>
        <w:rPr>
          <w:rStyle w:val="63"/>
          <w:rFonts w:ascii="Times New Roman"/>
        </w:rPr>
      </w:pPr>
      <w:r>
        <w:rPr>
          <w:rStyle w:val="63"/>
          <w:rFonts w:ascii="Times New Roman"/>
        </w:rPr>
        <w:t>制度控制措施：明确制度控制的措施，如限制地块使用方式、限制地下水利用方式、通知和公告地块潜在风险、限制进入或使用条例等。</w:t>
      </w:r>
    </w:p>
    <w:p>
      <w:pPr>
        <w:pStyle w:val="62"/>
        <w:tabs>
          <w:tab w:val="center" w:pos="4201"/>
          <w:tab w:val="right" w:leader="dot" w:pos="9298"/>
        </w:tabs>
        <w:spacing w:line="360" w:lineRule="exact"/>
        <w:rPr>
          <w:rStyle w:val="63"/>
          <w:rFonts w:ascii="Times New Roman"/>
        </w:rPr>
      </w:pPr>
      <w:r>
        <w:rPr>
          <w:rStyle w:val="63"/>
          <w:rFonts w:ascii="Times New Roman"/>
        </w:rPr>
        <w:t>对于周边存在污染的地块，建议做相应污染防控措施，防止地块外污染物向地块内迁移。</w:t>
      </w:r>
    </w:p>
    <w:p>
      <w:pPr>
        <w:pStyle w:val="3"/>
        <w:numPr>
          <w:ilvl w:val="0"/>
          <w:numId w:val="9"/>
        </w:numPr>
        <w:adjustRightInd w:val="0"/>
        <w:spacing w:before="240" w:after="240" w:line="360" w:lineRule="exact"/>
        <w:rPr>
          <w:rFonts w:cs="Times New Roman"/>
        </w:rPr>
      </w:pPr>
      <w:bookmarkStart w:id="196" w:name="_Toc26593"/>
      <w:bookmarkStart w:id="197" w:name="_Toc30890"/>
      <w:r>
        <w:rPr>
          <w:rFonts w:cs="Times New Roman"/>
        </w:rPr>
        <w:t>结论与建议</w:t>
      </w:r>
      <w:bookmarkEnd w:id="196"/>
      <w:bookmarkEnd w:id="197"/>
    </w:p>
    <w:p>
      <w:pPr>
        <w:pStyle w:val="62"/>
        <w:tabs>
          <w:tab w:val="center" w:pos="4201"/>
          <w:tab w:val="right" w:leader="dot" w:pos="9298"/>
        </w:tabs>
        <w:spacing w:line="360" w:lineRule="exact"/>
        <w:rPr>
          <w:rStyle w:val="63"/>
          <w:rFonts w:ascii="Times New Roman"/>
        </w:rPr>
      </w:pPr>
      <w:r>
        <w:rPr>
          <w:rStyle w:val="63"/>
          <w:rFonts w:ascii="Times New Roman"/>
        </w:rPr>
        <w:t>明确地块是否达到土壤污染风险评估报告确定的风险管控</w:t>
      </w:r>
      <w:r>
        <w:rPr>
          <w:rStyle w:val="63"/>
          <w:rFonts w:hint="eastAsia" w:ascii="Times New Roman"/>
        </w:rPr>
        <w:t>和</w:t>
      </w:r>
      <w:r>
        <w:rPr>
          <w:rStyle w:val="63"/>
          <w:rFonts w:ascii="Times New Roman"/>
        </w:rPr>
        <w:t>修复目标且可以安全利用等内容，并对修复后土壤、地下水提出后期管理、长期监测等要求和建议。</w:t>
      </w:r>
    </w:p>
    <w:p>
      <w:pPr>
        <w:pStyle w:val="62"/>
        <w:tabs>
          <w:tab w:val="center" w:pos="4201"/>
          <w:tab w:val="right" w:leader="dot" w:pos="9298"/>
        </w:tabs>
        <w:spacing w:line="360" w:lineRule="exact"/>
        <w:rPr>
          <w:rStyle w:val="63"/>
          <w:rFonts w:ascii="Times New Roman"/>
        </w:rPr>
        <w:sectPr>
          <w:pgSz w:w="11906" w:h="16838"/>
          <w:pgMar w:top="1276" w:right="1701" w:bottom="1440" w:left="1701" w:header="851" w:footer="992" w:gutter="0"/>
          <w:cols w:space="425" w:num="1"/>
          <w:docGrid w:type="lines" w:linePitch="435" w:charSpace="0"/>
        </w:sectPr>
      </w:pPr>
    </w:p>
    <w:p>
      <w:pPr>
        <w:pStyle w:val="3"/>
        <w:adjustRightInd w:val="0"/>
        <w:spacing w:before="120" w:after="120" w:line="360" w:lineRule="exact"/>
        <w:rPr>
          <w:rFonts w:cs="Times New Roman"/>
        </w:rPr>
      </w:pPr>
      <w:bookmarkStart w:id="198" w:name="_Toc3999"/>
      <w:bookmarkStart w:id="199" w:name="_Toc12586_WPSOffice_Level1"/>
      <w:bookmarkStart w:id="200" w:name="_Toc28018"/>
      <w:r>
        <w:rPr>
          <w:rFonts w:cs="Times New Roman"/>
        </w:rPr>
        <w:t xml:space="preserve">附件1 </w:t>
      </w:r>
      <w:bookmarkStart w:id="201" w:name="_Hlk36890950"/>
      <w:r>
        <w:rPr>
          <w:rFonts w:cs="Times New Roman"/>
        </w:rPr>
        <w:t>建设用地土壤污染状况调查报告</w:t>
      </w:r>
      <w:bookmarkEnd w:id="201"/>
      <w:r>
        <w:rPr>
          <w:rFonts w:cs="Times New Roman"/>
        </w:rPr>
        <w:t>编制大纲</w:t>
      </w:r>
      <w:bookmarkEnd w:id="198"/>
      <w:bookmarkEnd w:id="199"/>
      <w:bookmarkEnd w:id="200"/>
    </w:p>
    <w:p>
      <w:pPr>
        <w:pStyle w:val="62"/>
        <w:tabs>
          <w:tab w:val="center" w:pos="4201"/>
          <w:tab w:val="right" w:leader="dot" w:pos="9298"/>
        </w:tabs>
        <w:spacing w:line="360" w:lineRule="exact"/>
        <w:rPr>
          <w:rStyle w:val="63"/>
          <w:rFonts w:ascii="Times New Roman"/>
        </w:rPr>
      </w:pPr>
      <w:bookmarkStart w:id="202" w:name="_Hlk42762895"/>
      <w:r>
        <w:rPr>
          <w:rStyle w:val="63"/>
          <w:rFonts w:ascii="Times New Roman"/>
        </w:rPr>
        <w:t>建设用地土壤污染状况调查报告包括但不限于以下内容：</w:t>
      </w:r>
    </w:p>
    <w:bookmarkEnd w:id="202"/>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1 摘要</w:t>
      </w:r>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2 项目概况</w:t>
      </w:r>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03" w:name="_Toc32501_WPSOffice_Level1"/>
      <w:r>
        <w:rPr>
          <w:rStyle w:val="63"/>
          <w:rFonts w:ascii="Times New Roman"/>
        </w:rPr>
        <w:t>2.1 项目背景和来由</w:t>
      </w:r>
      <w:bookmarkEnd w:id="203"/>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04" w:name="_Toc11613_WPSOffice_Level1"/>
      <w:r>
        <w:rPr>
          <w:rStyle w:val="63"/>
          <w:rFonts w:ascii="Times New Roman"/>
        </w:rPr>
        <w:t>2.2 调查目的和原则</w:t>
      </w:r>
      <w:bookmarkEnd w:id="204"/>
    </w:p>
    <w:p>
      <w:pPr>
        <w:pStyle w:val="62"/>
        <w:tabs>
          <w:tab w:val="center" w:pos="4201"/>
          <w:tab w:val="right" w:leader="dot" w:pos="9298"/>
        </w:tabs>
        <w:spacing w:line="360" w:lineRule="exact"/>
        <w:rPr>
          <w:rStyle w:val="63"/>
          <w:rFonts w:ascii="Times New Roman"/>
        </w:rPr>
      </w:pPr>
      <w:bookmarkStart w:id="205" w:name="_Toc31423_WPSOffice_Level1"/>
      <w:r>
        <w:rPr>
          <w:rStyle w:val="63"/>
          <w:rFonts w:ascii="Times New Roman"/>
        </w:rPr>
        <w:t xml:space="preserve">  2.3 调查范围</w:t>
      </w:r>
      <w:bookmarkEnd w:id="205"/>
    </w:p>
    <w:p>
      <w:pPr>
        <w:pStyle w:val="62"/>
        <w:tabs>
          <w:tab w:val="center" w:pos="4201"/>
          <w:tab w:val="right" w:leader="dot" w:pos="9298"/>
        </w:tabs>
        <w:spacing w:line="360" w:lineRule="exact"/>
        <w:rPr>
          <w:rStyle w:val="63"/>
          <w:rFonts w:ascii="Times New Roman"/>
        </w:rPr>
      </w:pPr>
      <w:bookmarkStart w:id="206" w:name="_Toc26873_WPSOffice_Level1"/>
      <w:r>
        <w:rPr>
          <w:rStyle w:val="63"/>
          <w:rFonts w:ascii="Times New Roman"/>
        </w:rPr>
        <w:t xml:space="preserve">  2.4 调查依据</w:t>
      </w:r>
      <w:bookmarkEnd w:id="206"/>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07" w:name="_Toc15001_WPSOffice_Level1"/>
      <w:r>
        <w:rPr>
          <w:rStyle w:val="63"/>
          <w:rFonts w:ascii="Times New Roman"/>
        </w:rPr>
        <w:t>2.5 调查方法</w:t>
      </w:r>
      <w:bookmarkEnd w:id="207"/>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08" w:name="_Toc21122_WPSOffice_Level1"/>
      <w:r>
        <w:rPr>
          <w:rStyle w:val="63"/>
          <w:rFonts w:ascii="Times New Roman"/>
        </w:rPr>
        <w:t>2.6 技术路线</w:t>
      </w:r>
      <w:bookmarkEnd w:id="208"/>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3 地块概况</w:t>
      </w:r>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09" w:name="_Toc32601_WPSOffice_Level1"/>
      <w:r>
        <w:rPr>
          <w:rStyle w:val="63"/>
          <w:rFonts w:ascii="Times New Roman"/>
        </w:rPr>
        <w:t>3.1 地块地理位置</w:t>
      </w:r>
      <w:bookmarkEnd w:id="209"/>
    </w:p>
    <w:p>
      <w:pPr>
        <w:pStyle w:val="62"/>
        <w:tabs>
          <w:tab w:val="center" w:pos="4201"/>
          <w:tab w:val="right" w:leader="dot" w:pos="9298"/>
        </w:tabs>
        <w:spacing w:line="360" w:lineRule="exact"/>
        <w:rPr>
          <w:rStyle w:val="63"/>
          <w:rFonts w:ascii="Times New Roman"/>
        </w:rPr>
      </w:pPr>
      <w:bookmarkStart w:id="210" w:name="_Toc2638_WPSOffice_Level1"/>
      <w:r>
        <w:rPr>
          <w:rStyle w:val="63"/>
          <w:rFonts w:ascii="Times New Roman"/>
        </w:rPr>
        <w:t xml:space="preserve">  3.2 区域环境概况</w:t>
      </w:r>
      <w:bookmarkEnd w:id="210"/>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11" w:name="_Toc10098_WPSOffice_Level1"/>
      <w:r>
        <w:rPr>
          <w:rStyle w:val="63"/>
          <w:rFonts w:ascii="Times New Roman"/>
        </w:rPr>
        <w:t>3.3 周边敏感目标</w:t>
      </w:r>
      <w:bookmarkEnd w:id="211"/>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12" w:name="_Toc32431_WPSOffice_Level1"/>
      <w:r>
        <w:rPr>
          <w:rStyle w:val="63"/>
          <w:rFonts w:ascii="Times New Roman"/>
        </w:rPr>
        <w:t>3.4 地块现状和历史</w:t>
      </w:r>
      <w:bookmarkEnd w:id="212"/>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13" w:name="_Toc29420_WPSOffice_Level1"/>
      <w:r>
        <w:rPr>
          <w:rStyle w:val="63"/>
          <w:rFonts w:ascii="Times New Roman"/>
        </w:rPr>
        <w:t>3.5 相邻地块现状和历史</w:t>
      </w:r>
      <w:bookmarkEnd w:id="213"/>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14" w:name="_Toc22148_WPSOffice_Level1"/>
      <w:r>
        <w:rPr>
          <w:rStyle w:val="63"/>
          <w:rFonts w:ascii="Times New Roman"/>
        </w:rPr>
        <w:t>3.6 地块利用规划</w:t>
      </w:r>
      <w:bookmarkEnd w:id="214"/>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4 污染识别</w:t>
      </w:r>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15" w:name="_Toc8258_WPSOffice_Level1"/>
      <w:r>
        <w:rPr>
          <w:rStyle w:val="63"/>
          <w:rFonts w:ascii="Times New Roman"/>
        </w:rPr>
        <w:t>4.1 调查区域内污染源分布及环境影响分析</w:t>
      </w:r>
      <w:bookmarkEnd w:id="215"/>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16" w:name="_Toc1321_WPSOffice_Level1"/>
      <w:r>
        <w:rPr>
          <w:rStyle w:val="63"/>
          <w:rFonts w:ascii="Times New Roman"/>
        </w:rPr>
        <w:t>4.2 调查区域周边污染源分布及环境影响分析</w:t>
      </w:r>
      <w:bookmarkEnd w:id="216"/>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17" w:name="_Toc28922_WPSOffice_Level1"/>
      <w:r>
        <w:rPr>
          <w:rStyle w:val="63"/>
          <w:rFonts w:ascii="Times New Roman"/>
        </w:rPr>
        <w:t>4.3 现场踏勘与人员访谈</w:t>
      </w:r>
      <w:bookmarkEnd w:id="217"/>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18" w:name="_Toc31527_WPSOffice_Level1"/>
      <w:r>
        <w:rPr>
          <w:rStyle w:val="63"/>
          <w:rFonts w:ascii="Times New Roman"/>
        </w:rPr>
        <w:t>4.4 地块前期监测资料</w:t>
      </w:r>
      <w:bookmarkEnd w:id="218"/>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19" w:name="_Toc23602_WPSOffice_Level1"/>
      <w:r>
        <w:rPr>
          <w:rStyle w:val="63"/>
          <w:rFonts w:ascii="Times New Roman"/>
        </w:rPr>
        <w:t>4.5 地块概念模型</w:t>
      </w:r>
      <w:bookmarkEnd w:id="219"/>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20" w:name="_Toc16652_WPSOffice_Level1"/>
      <w:r>
        <w:rPr>
          <w:rStyle w:val="63"/>
          <w:rFonts w:ascii="Times New Roman"/>
        </w:rPr>
        <w:t>4.6 污染识别结论</w:t>
      </w:r>
      <w:bookmarkEnd w:id="220"/>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5 布点采样方案</w:t>
      </w:r>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21" w:name="_Toc9856_WPSOffice_Level1"/>
      <w:r>
        <w:rPr>
          <w:rStyle w:val="63"/>
          <w:rFonts w:ascii="Times New Roman"/>
        </w:rPr>
        <w:t>5.1 布点原则</w:t>
      </w:r>
      <w:bookmarkEnd w:id="221"/>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22" w:name="_Toc30287_WPSOffice_Level1"/>
      <w:r>
        <w:rPr>
          <w:rStyle w:val="63"/>
          <w:rFonts w:ascii="Times New Roman"/>
        </w:rPr>
        <w:t>5.2 布点方案</w:t>
      </w:r>
      <w:bookmarkEnd w:id="222"/>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23" w:name="_Toc4559_WPSOffice_Level1"/>
      <w:r>
        <w:rPr>
          <w:rStyle w:val="63"/>
          <w:rFonts w:ascii="Times New Roman"/>
        </w:rPr>
        <w:t>5.3 样品采集</w:t>
      </w:r>
      <w:bookmarkEnd w:id="223"/>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24" w:name="_Toc15420_WPSOffice_Level1"/>
      <w:r>
        <w:rPr>
          <w:rStyle w:val="63"/>
          <w:rFonts w:ascii="Times New Roman"/>
        </w:rPr>
        <w:t>5.4 样品保存与流转</w:t>
      </w:r>
      <w:bookmarkEnd w:id="224"/>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25" w:name="_Toc11550_WPSOffice_Level1"/>
      <w:r>
        <w:rPr>
          <w:rStyle w:val="63"/>
          <w:rFonts w:ascii="Times New Roman"/>
        </w:rPr>
        <w:t>5.5 样品分析检测</w:t>
      </w:r>
      <w:bookmarkEnd w:id="225"/>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26" w:name="_Toc5420_WPSOffice_Level1"/>
      <w:r>
        <w:rPr>
          <w:rStyle w:val="63"/>
          <w:rFonts w:ascii="Times New Roman"/>
        </w:rPr>
        <w:t>5.6 质量保证与质量控制</w:t>
      </w:r>
      <w:bookmarkEnd w:id="226"/>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6 水文地质勘察结果和分析</w:t>
      </w:r>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7 调查结果分析与评价</w:t>
      </w:r>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27" w:name="_Toc19282_WPSOffice_Level1"/>
      <w:r>
        <w:rPr>
          <w:rStyle w:val="63"/>
          <w:rFonts w:ascii="Times New Roman"/>
        </w:rPr>
        <w:t>7.1 筛选标准</w:t>
      </w:r>
      <w:bookmarkEnd w:id="227"/>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28" w:name="_Toc17053_WPSOffice_Level1"/>
      <w:r>
        <w:rPr>
          <w:rStyle w:val="63"/>
          <w:rFonts w:ascii="Times New Roman"/>
        </w:rPr>
        <w:t>7.2 检测结果分析与评价</w:t>
      </w:r>
      <w:bookmarkEnd w:id="228"/>
    </w:p>
    <w:p>
      <w:pPr>
        <w:pStyle w:val="62"/>
        <w:tabs>
          <w:tab w:val="center" w:pos="4201"/>
          <w:tab w:val="right" w:leader="dot" w:pos="9298"/>
        </w:tabs>
        <w:spacing w:line="360" w:lineRule="exact"/>
        <w:rPr>
          <w:rStyle w:val="63"/>
          <w:rFonts w:ascii="Times New Roman"/>
        </w:rPr>
      </w:pPr>
      <w:bookmarkStart w:id="229" w:name="_Toc8567_WPSOffice_Level1"/>
      <w:r>
        <w:rPr>
          <w:rStyle w:val="63"/>
          <w:rFonts w:ascii="Times New Roman"/>
        </w:rPr>
        <w:t xml:space="preserve">  7.3 调查结果</w:t>
      </w:r>
      <w:bookmarkEnd w:id="229"/>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8 结论与建议</w:t>
      </w:r>
    </w:p>
    <w:p>
      <w:pPr>
        <w:pStyle w:val="62"/>
        <w:tabs>
          <w:tab w:val="center" w:pos="4201"/>
          <w:tab w:val="right" w:leader="dot" w:pos="9298"/>
        </w:tabs>
        <w:spacing w:line="360" w:lineRule="exact"/>
        <w:ind w:firstLine="422"/>
        <w:rPr>
          <w:rStyle w:val="63"/>
          <w:rFonts w:ascii="Times New Roman"/>
        </w:rPr>
      </w:pPr>
      <w:r>
        <w:rPr>
          <w:rStyle w:val="63"/>
          <w:rFonts w:ascii="Times New Roman"/>
          <w:b/>
          <w:bCs/>
        </w:rPr>
        <w:t>9 附件</w:t>
      </w:r>
      <w:r>
        <w:rPr>
          <w:rStyle w:val="63"/>
          <w:rFonts w:ascii="Times New Roman"/>
        </w:rPr>
        <w:t>（地块权属信息、市级生态环境主管部门的备案意见、现场踏勘照片、人员访谈记录表、现场记录照片、现场采样记录单、监测井建设记录、实验室检测报告（加盖CMA章）、质量控制结果、样品追踪监管记录、水文地质勘察报告等）</w:t>
      </w:r>
    </w:p>
    <w:p>
      <w:pPr>
        <w:pStyle w:val="3"/>
        <w:pageBreakBefore/>
        <w:adjustRightInd w:val="0"/>
        <w:spacing w:before="120" w:after="120" w:line="360" w:lineRule="exact"/>
        <w:rPr>
          <w:rFonts w:cs="Times New Roman"/>
        </w:rPr>
      </w:pPr>
      <w:bookmarkStart w:id="230" w:name="_Hlk36890867"/>
      <w:bookmarkStart w:id="231" w:name="_Toc16611_WPSOffice_Level1"/>
      <w:bookmarkStart w:id="232" w:name="_Toc31196"/>
      <w:bookmarkStart w:id="233" w:name="_Toc15237"/>
      <w:r>
        <w:rPr>
          <w:rFonts w:cs="Times New Roman"/>
        </w:rPr>
        <w:t>附件2 建设用地土壤污染风险评估报告</w:t>
      </w:r>
      <w:bookmarkEnd w:id="230"/>
      <w:r>
        <w:rPr>
          <w:rFonts w:cs="Times New Roman"/>
        </w:rPr>
        <w:t>编制大纲</w:t>
      </w:r>
      <w:bookmarkEnd w:id="231"/>
      <w:bookmarkEnd w:id="232"/>
      <w:bookmarkEnd w:id="233"/>
    </w:p>
    <w:p>
      <w:pPr>
        <w:pStyle w:val="62"/>
        <w:tabs>
          <w:tab w:val="center" w:pos="4201"/>
          <w:tab w:val="right" w:leader="dot" w:pos="9298"/>
        </w:tabs>
        <w:spacing w:line="360" w:lineRule="exact"/>
        <w:rPr>
          <w:rStyle w:val="63"/>
          <w:rFonts w:ascii="Times New Roman"/>
        </w:rPr>
      </w:pPr>
      <w:r>
        <w:rPr>
          <w:rStyle w:val="63"/>
          <w:rFonts w:ascii="Times New Roman"/>
        </w:rPr>
        <w:t xml:space="preserve">建设用地土壤污染风险评估报告包括但不限于以下内容： </w:t>
      </w:r>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1 项目概况</w:t>
      </w:r>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2 地块概况</w:t>
      </w:r>
    </w:p>
    <w:p>
      <w:pPr>
        <w:pStyle w:val="62"/>
        <w:tabs>
          <w:tab w:val="center" w:pos="4201"/>
          <w:tab w:val="right" w:leader="dot" w:pos="9298"/>
        </w:tabs>
        <w:spacing w:line="360" w:lineRule="exact"/>
        <w:rPr>
          <w:rStyle w:val="63"/>
          <w:rFonts w:ascii="Times New Roman"/>
        </w:rPr>
      </w:pPr>
      <w:r>
        <w:rPr>
          <w:rStyle w:val="63"/>
          <w:rFonts w:ascii="Times New Roman"/>
        </w:rPr>
        <w:t xml:space="preserve">  2.1 地块描述</w:t>
      </w:r>
    </w:p>
    <w:p>
      <w:pPr>
        <w:pStyle w:val="62"/>
        <w:tabs>
          <w:tab w:val="center" w:pos="4201"/>
          <w:tab w:val="right" w:leader="dot" w:pos="9298"/>
        </w:tabs>
        <w:spacing w:line="360" w:lineRule="exact"/>
        <w:rPr>
          <w:rStyle w:val="63"/>
          <w:rFonts w:ascii="Times New Roman"/>
        </w:rPr>
      </w:pPr>
      <w:r>
        <w:rPr>
          <w:rStyle w:val="63"/>
          <w:rFonts w:ascii="Times New Roman"/>
        </w:rPr>
        <w:t xml:space="preserve">  2.2 地块敏感目标</w:t>
      </w:r>
    </w:p>
    <w:p>
      <w:pPr>
        <w:pStyle w:val="62"/>
        <w:tabs>
          <w:tab w:val="center" w:pos="4201"/>
          <w:tab w:val="right" w:leader="dot" w:pos="9298"/>
        </w:tabs>
        <w:spacing w:line="360" w:lineRule="exact"/>
        <w:rPr>
          <w:rStyle w:val="63"/>
          <w:rFonts w:ascii="Times New Roman"/>
        </w:rPr>
      </w:pPr>
      <w:r>
        <w:rPr>
          <w:rStyle w:val="63"/>
          <w:rFonts w:ascii="Times New Roman"/>
        </w:rPr>
        <w:t xml:space="preserve">  2.3 前期土壤污染状况调查工作回顾与结论</w:t>
      </w:r>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3 评估方法</w:t>
      </w:r>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4 危害识别</w:t>
      </w:r>
    </w:p>
    <w:p>
      <w:pPr>
        <w:pStyle w:val="62"/>
        <w:tabs>
          <w:tab w:val="center" w:pos="4201"/>
          <w:tab w:val="right" w:leader="dot" w:pos="9298"/>
        </w:tabs>
        <w:spacing w:line="360" w:lineRule="exact"/>
        <w:rPr>
          <w:rStyle w:val="63"/>
          <w:rFonts w:ascii="Times New Roman"/>
        </w:rPr>
      </w:pPr>
      <w:r>
        <w:rPr>
          <w:rStyle w:val="63"/>
          <w:rFonts w:ascii="Times New Roman"/>
        </w:rPr>
        <w:t xml:space="preserve">  4.1污染源分析</w:t>
      </w:r>
    </w:p>
    <w:p>
      <w:pPr>
        <w:pStyle w:val="62"/>
        <w:tabs>
          <w:tab w:val="center" w:pos="4201"/>
          <w:tab w:val="right" w:leader="dot" w:pos="9298"/>
        </w:tabs>
        <w:spacing w:line="360" w:lineRule="exact"/>
        <w:rPr>
          <w:rStyle w:val="63"/>
          <w:rFonts w:ascii="Times New Roman"/>
        </w:rPr>
      </w:pPr>
      <w:r>
        <w:rPr>
          <w:rStyle w:val="63"/>
          <w:rFonts w:ascii="Times New Roman"/>
        </w:rPr>
        <w:t xml:space="preserve">  4.2 关注污染物筛选</w:t>
      </w:r>
    </w:p>
    <w:p>
      <w:pPr>
        <w:pStyle w:val="62"/>
        <w:tabs>
          <w:tab w:val="center" w:pos="4201"/>
          <w:tab w:val="right" w:leader="dot" w:pos="9298"/>
        </w:tabs>
        <w:spacing w:line="360" w:lineRule="exact"/>
        <w:rPr>
          <w:rStyle w:val="63"/>
          <w:rFonts w:ascii="Times New Roman"/>
        </w:rPr>
      </w:pPr>
      <w:r>
        <w:rPr>
          <w:rStyle w:val="63"/>
          <w:rFonts w:ascii="Times New Roman"/>
        </w:rPr>
        <w:t xml:space="preserve">  4.3 受体分析</w:t>
      </w:r>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5 暴露评估</w:t>
      </w:r>
    </w:p>
    <w:p>
      <w:pPr>
        <w:pStyle w:val="62"/>
        <w:tabs>
          <w:tab w:val="center" w:pos="4201"/>
          <w:tab w:val="right" w:leader="dot" w:pos="9298"/>
        </w:tabs>
        <w:spacing w:line="360" w:lineRule="exact"/>
        <w:rPr>
          <w:rStyle w:val="63"/>
          <w:rFonts w:ascii="Times New Roman"/>
        </w:rPr>
      </w:pPr>
      <w:r>
        <w:rPr>
          <w:rStyle w:val="63"/>
          <w:rFonts w:ascii="Times New Roman"/>
        </w:rPr>
        <w:t xml:space="preserve">  5.1 暴露情景</w:t>
      </w:r>
    </w:p>
    <w:p>
      <w:pPr>
        <w:pStyle w:val="62"/>
        <w:tabs>
          <w:tab w:val="center" w:pos="4201"/>
          <w:tab w:val="right" w:leader="dot" w:pos="9298"/>
        </w:tabs>
        <w:spacing w:line="360" w:lineRule="exact"/>
        <w:rPr>
          <w:rStyle w:val="63"/>
          <w:rFonts w:ascii="Times New Roman"/>
        </w:rPr>
      </w:pPr>
      <w:r>
        <w:rPr>
          <w:rStyle w:val="63"/>
          <w:rFonts w:ascii="Times New Roman"/>
        </w:rPr>
        <w:t xml:space="preserve">  5.2 暴露途径</w:t>
      </w:r>
    </w:p>
    <w:p>
      <w:pPr>
        <w:pStyle w:val="62"/>
        <w:tabs>
          <w:tab w:val="center" w:pos="4201"/>
          <w:tab w:val="right" w:leader="dot" w:pos="9298"/>
        </w:tabs>
        <w:spacing w:line="360" w:lineRule="exact"/>
        <w:rPr>
          <w:rStyle w:val="63"/>
          <w:rFonts w:ascii="Times New Roman"/>
        </w:rPr>
      </w:pPr>
      <w:r>
        <w:rPr>
          <w:rStyle w:val="63"/>
          <w:rFonts w:ascii="Times New Roman"/>
        </w:rPr>
        <w:t xml:space="preserve">  5.3 地块概念模型</w:t>
      </w:r>
    </w:p>
    <w:p>
      <w:pPr>
        <w:pStyle w:val="62"/>
        <w:tabs>
          <w:tab w:val="center" w:pos="4201"/>
          <w:tab w:val="right" w:leader="dot" w:pos="9298"/>
        </w:tabs>
        <w:spacing w:line="360" w:lineRule="exact"/>
        <w:rPr>
          <w:rStyle w:val="63"/>
          <w:rFonts w:ascii="Times New Roman"/>
        </w:rPr>
      </w:pPr>
      <w:r>
        <w:rPr>
          <w:rStyle w:val="63"/>
          <w:rFonts w:ascii="Times New Roman"/>
        </w:rPr>
        <w:t xml:space="preserve">  5.4 模型参数取值</w:t>
      </w:r>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6 毒性评估</w:t>
      </w:r>
    </w:p>
    <w:p>
      <w:pPr>
        <w:pStyle w:val="62"/>
        <w:tabs>
          <w:tab w:val="center" w:pos="4201"/>
          <w:tab w:val="right" w:leader="dot" w:pos="9298"/>
        </w:tabs>
        <w:spacing w:line="360" w:lineRule="exact"/>
        <w:rPr>
          <w:rStyle w:val="63"/>
          <w:rFonts w:ascii="Times New Roman"/>
        </w:rPr>
      </w:pPr>
      <w:r>
        <w:rPr>
          <w:rStyle w:val="63"/>
          <w:rFonts w:ascii="Times New Roman"/>
        </w:rPr>
        <w:t xml:space="preserve">  6.1 污染物毒性特征</w:t>
      </w:r>
    </w:p>
    <w:p>
      <w:pPr>
        <w:pStyle w:val="62"/>
        <w:tabs>
          <w:tab w:val="center" w:pos="4201"/>
          <w:tab w:val="right" w:leader="dot" w:pos="9298"/>
        </w:tabs>
        <w:spacing w:line="360" w:lineRule="exact"/>
        <w:rPr>
          <w:rStyle w:val="63"/>
          <w:rFonts w:ascii="Times New Roman"/>
        </w:rPr>
      </w:pPr>
      <w:r>
        <w:rPr>
          <w:rStyle w:val="63"/>
          <w:rFonts w:ascii="Times New Roman"/>
        </w:rPr>
        <w:t xml:space="preserve">  6.2 毒性参数取值</w:t>
      </w:r>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7 风险表征</w:t>
      </w:r>
    </w:p>
    <w:p>
      <w:pPr>
        <w:pStyle w:val="62"/>
        <w:tabs>
          <w:tab w:val="center" w:pos="4201"/>
          <w:tab w:val="right" w:leader="dot" w:pos="9298"/>
        </w:tabs>
        <w:spacing w:line="360" w:lineRule="exact"/>
        <w:rPr>
          <w:rStyle w:val="63"/>
          <w:rFonts w:ascii="Times New Roman"/>
        </w:rPr>
      </w:pPr>
      <w:r>
        <w:rPr>
          <w:rStyle w:val="63"/>
          <w:rFonts w:ascii="Times New Roman"/>
        </w:rPr>
        <w:t xml:space="preserve">  7.1 土壤风险表征</w:t>
      </w:r>
    </w:p>
    <w:p>
      <w:pPr>
        <w:pStyle w:val="62"/>
        <w:tabs>
          <w:tab w:val="center" w:pos="4201"/>
          <w:tab w:val="right" w:leader="dot" w:pos="9298"/>
        </w:tabs>
        <w:spacing w:line="360" w:lineRule="exact"/>
        <w:rPr>
          <w:rStyle w:val="63"/>
          <w:rFonts w:ascii="Times New Roman"/>
        </w:rPr>
      </w:pPr>
      <w:r>
        <w:rPr>
          <w:rStyle w:val="63"/>
          <w:rFonts w:ascii="Times New Roman"/>
        </w:rPr>
        <w:t xml:space="preserve">  7.2 地下水风险表征</w:t>
      </w:r>
    </w:p>
    <w:p>
      <w:pPr>
        <w:pStyle w:val="62"/>
        <w:tabs>
          <w:tab w:val="center" w:pos="4201"/>
          <w:tab w:val="right" w:leader="dot" w:pos="9298"/>
        </w:tabs>
        <w:spacing w:line="360" w:lineRule="exact"/>
        <w:rPr>
          <w:rStyle w:val="63"/>
          <w:rFonts w:ascii="Times New Roman"/>
        </w:rPr>
      </w:pPr>
      <w:r>
        <w:rPr>
          <w:rStyle w:val="63"/>
          <w:rFonts w:ascii="Times New Roman"/>
        </w:rPr>
        <w:t xml:space="preserve">  7.3 不确定性分析</w:t>
      </w:r>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8 风险控制值</w:t>
      </w:r>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9 修复目标值</w:t>
      </w:r>
    </w:p>
    <w:p>
      <w:pPr>
        <w:pStyle w:val="62"/>
        <w:tabs>
          <w:tab w:val="center" w:pos="4201"/>
          <w:tab w:val="right" w:leader="dot" w:pos="9298"/>
        </w:tabs>
        <w:spacing w:line="360" w:lineRule="exact"/>
        <w:rPr>
          <w:rStyle w:val="63"/>
          <w:rFonts w:ascii="Times New Roman"/>
        </w:rPr>
      </w:pPr>
      <w:r>
        <w:rPr>
          <w:rStyle w:val="63"/>
          <w:rFonts w:ascii="Times New Roman"/>
        </w:rPr>
        <w:t xml:space="preserve">  9.1 风险管控目标</w:t>
      </w:r>
    </w:p>
    <w:p>
      <w:pPr>
        <w:pStyle w:val="62"/>
        <w:tabs>
          <w:tab w:val="center" w:pos="4201"/>
          <w:tab w:val="right" w:leader="dot" w:pos="9298"/>
        </w:tabs>
        <w:spacing w:line="360" w:lineRule="exact"/>
        <w:rPr>
          <w:rStyle w:val="63"/>
          <w:rFonts w:ascii="Times New Roman"/>
        </w:rPr>
      </w:pPr>
      <w:r>
        <w:rPr>
          <w:rStyle w:val="63"/>
          <w:rFonts w:ascii="Times New Roman"/>
        </w:rPr>
        <w:t xml:space="preserve">  9.2 修复目标值</w:t>
      </w:r>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10 风险管控/修复范围</w:t>
      </w:r>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11 结论与建议</w:t>
      </w:r>
    </w:p>
    <w:p>
      <w:pPr>
        <w:pStyle w:val="62"/>
        <w:tabs>
          <w:tab w:val="center" w:pos="4201"/>
          <w:tab w:val="right" w:leader="dot" w:pos="9298"/>
        </w:tabs>
        <w:spacing w:line="360" w:lineRule="exact"/>
        <w:ind w:firstLine="422"/>
        <w:rPr>
          <w:rStyle w:val="63"/>
          <w:rFonts w:ascii="Times New Roman"/>
        </w:rPr>
      </w:pPr>
      <w:r>
        <w:rPr>
          <w:rStyle w:val="63"/>
          <w:rFonts w:ascii="Times New Roman"/>
          <w:b/>
          <w:bCs/>
        </w:rPr>
        <w:t>12 附件</w:t>
      </w:r>
      <w:r>
        <w:rPr>
          <w:rStyle w:val="63"/>
          <w:rFonts w:ascii="Times New Roman"/>
        </w:rPr>
        <w:t>（地块土壤污染状况调查报告及市级生态环境主管部门</w:t>
      </w:r>
      <w:r>
        <w:rPr>
          <w:rStyle w:val="63"/>
          <w:rFonts w:hint="eastAsia" w:ascii="Times New Roman"/>
        </w:rPr>
        <w:t>审查</w:t>
      </w:r>
      <w:r>
        <w:rPr>
          <w:rStyle w:val="63"/>
          <w:rFonts w:ascii="Times New Roman"/>
        </w:rPr>
        <w:t>意见）</w:t>
      </w:r>
    </w:p>
    <w:p>
      <w:pPr>
        <w:adjustRightInd w:val="0"/>
        <w:spacing w:line="360" w:lineRule="exact"/>
        <w:ind w:firstLine="232" w:firstLineChars="83"/>
        <w:rPr>
          <w:rFonts w:cs="Times New Roman"/>
        </w:rPr>
      </w:pPr>
    </w:p>
    <w:p>
      <w:pPr>
        <w:adjustRightInd w:val="0"/>
        <w:spacing w:line="360" w:lineRule="exact"/>
        <w:ind w:firstLine="232" w:firstLineChars="83"/>
        <w:rPr>
          <w:rFonts w:cs="Times New Roman"/>
        </w:rPr>
      </w:pPr>
    </w:p>
    <w:p>
      <w:pPr>
        <w:adjustRightInd w:val="0"/>
        <w:spacing w:line="360" w:lineRule="exact"/>
        <w:ind w:firstLine="232" w:firstLineChars="83"/>
        <w:rPr>
          <w:rFonts w:cs="Times New Roman"/>
        </w:rPr>
      </w:pPr>
    </w:p>
    <w:p>
      <w:pPr>
        <w:adjustRightInd w:val="0"/>
        <w:spacing w:line="360" w:lineRule="exact"/>
        <w:ind w:firstLine="232" w:firstLineChars="83"/>
        <w:rPr>
          <w:rFonts w:cs="Times New Roman"/>
        </w:rPr>
      </w:pPr>
    </w:p>
    <w:p>
      <w:pPr>
        <w:adjustRightInd w:val="0"/>
        <w:spacing w:line="360" w:lineRule="exact"/>
        <w:ind w:firstLine="232" w:firstLineChars="83"/>
        <w:rPr>
          <w:rFonts w:cs="Times New Roman"/>
        </w:rPr>
      </w:pPr>
    </w:p>
    <w:p>
      <w:pPr>
        <w:pStyle w:val="3"/>
        <w:adjustRightInd w:val="0"/>
        <w:spacing w:before="120" w:after="120" w:line="360" w:lineRule="exact"/>
        <w:rPr>
          <w:rFonts w:cs="Times New Roman"/>
        </w:rPr>
      </w:pPr>
      <w:bookmarkStart w:id="234" w:name="_Toc4564"/>
      <w:bookmarkStart w:id="235" w:name="_Toc9881"/>
      <w:bookmarkStart w:id="236" w:name="_Toc20516_WPSOffice_Level1"/>
      <w:r>
        <w:rPr>
          <w:rFonts w:cs="Times New Roman"/>
        </w:rPr>
        <w:t>附件3 建设用地土壤污染修复（含风险管控）效果评估报告编制大纲</w:t>
      </w:r>
      <w:bookmarkEnd w:id="234"/>
      <w:bookmarkEnd w:id="235"/>
      <w:bookmarkEnd w:id="236"/>
    </w:p>
    <w:p>
      <w:pPr>
        <w:pStyle w:val="62"/>
        <w:tabs>
          <w:tab w:val="center" w:pos="4201"/>
          <w:tab w:val="right" w:leader="dot" w:pos="9298"/>
        </w:tabs>
        <w:spacing w:line="360" w:lineRule="exact"/>
        <w:rPr>
          <w:rStyle w:val="63"/>
          <w:rFonts w:ascii="Times New Roman"/>
        </w:rPr>
      </w:pPr>
      <w:r>
        <w:rPr>
          <w:rStyle w:val="63"/>
          <w:rFonts w:ascii="Times New Roman"/>
        </w:rPr>
        <w:t>建设用地土壤污染修复（含风险管控）效果评估报告包括但不限于以下内容：</w:t>
      </w:r>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1 项目背景</w:t>
      </w:r>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2 工作依据</w:t>
      </w:r>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37" w:name="_Toc13703_WPSOffice_Level1"/>
      <w:r>
        <w:rPr>
          <w:rStyle w:val="63"/>
          <w:rFonts w:ascii="Times New Roman"/>
        </w:rPr>
        <w:t>2.1 法律法规</w:t>
      </w:r>
      <w:bookmarkEnd w:id="237"/>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38" w:name="_Toc30939_WPSOffice_Level1"/>
      <w:r>
        <w:rPr>
          <w:rStyle w:val="63"/>
          <w:rFonts w:ascii="Times New Roman"/>
        </w:rPr>
        <w:t>2.2 标准规范</w:t>
      </w:r>
      <w:bookmarkEnd w:id="238"/>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39" w:name="_Toc3480_WPSOffice_Level1"/>
      <w:r>
        <w:rPr>
          <w:rStyle w:val="63"/>
          <w:rFonts w:ascii="Times New Roman"/>
        </w:rPr>
        <w:t>2.3 项目文件</w:t>
      </w:r>
      <w:bookmarkEnd w:id="239"/>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3 地块概况</w:t>
      </w:r>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40" w:name="_Toc18337_WPSOffice_Level1"/>
      <w:r>
        <w:rPr>
          <w:rStyle w:val="63"/>
          <w:rFonts w:ascii="Times New Roman"/>
        </w:rPr>
        <w:t>3.1 地块调查评估结论</w:t>
      </w:r>
      <w:bookmarkEnd w:id="240"/>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41" w:name="_Toc13172_WPSOffice_Level1"/>
      <w:r>
        <w:rPr>
          <w:rStyle w:val="63"/>
          <w:rFonts w:ascii="Times New Roman"/>
        </w:rPr>
        <w:t>3.2 风险管控或修复方案</w:t>
      </w:r>
      <w:bookmarkEnd w:id="241"/>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42" w:name="_Toc23076_WPSOffice_Level1"/>
      <w:r>
        <w:rPr>
          <w:rStyle w:val="63"/>
          <w:rFonts w:ascii="Times New Roman"/>
        </w:rPr>
        <w:t>3.3 风险管控或修复实施情况</w:t>
      </w:r>
      <w:bookmarkEnd w:id="242"/>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43" w:name="_Toc16332_WPSOffice_Level1"/>
      <w:r>
        <w:rPr>
          <w:rStyle w:val="63"/>
          <w:rFonts w:ascii="Times New Roman"/>
        </w:rPr>
        <w:t>3.4 环境保护措施落实情况</w:t>
      </w:r>
      <w:bookmarkEnd w:id="243"/>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4 地块概念模型</w:t>
      </w:r>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44" w:name="_Toc31005_WPSOffice_Level1"/>
      <w:r>
        <w:rPr>
          <w:rStyle w:val="63"/>
          <w:rFonts w:ascii="Times New Roman"/>
        </w:rPr>
        <w:t>4.1 资料回顾</w:t>
      </w:r>
      <w:bookmarkEnd w:id="244"/>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45" w:name="_Toc26620_WPSOffice_Level1"/>
      <w:r>
        <w:rPr>
          <w:rStyle w:val="63"/>
          <w:rFonts w:ascii="Times New Roman"/>
        </w:rPr>
        <w:t>4.2 现场踏勘</w:t>
      </w:r>
      <w:bookmarkEnd w:id="245"/>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46" w:name="_Toc32221_WPSOffice_Level1"/>
      <w:r>
        <w:rPr>
          <w:rStyle w:val="63"/>
          <w:rFonts w:ascii="Times New Roman"/>
        </w:rPr>
        <w:t>4.3 人员访谈</w:t>
      </w:r>
      <w:bookmarkEnd w:id="246"/>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47" w:name="_Toc15338_WPSOffice_Level1"/>
      <w:r>
        <w:rPr>
          <w:rStyle w:val="63"/>
          <w:rFonts w:ascii="Times New Roman"/>
        </w:rPr>
        <w:t>4.4 地块概念模型</w:t>
      </w:r>
      <w:bookmarkEnd w:id="247"/>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5 效果评估布点方案</w:t>
      </w:r>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48" w:name="_Toc19748_WPSOffice_Level1"/>
      <w:r>
        <w:rPr>
          <w:rStyle w:val="63"/>
          <w:rFonts w:ascii="Times New Roman"/>
        </w:rPr>
        <w:t>5.1 土壤修复效果评估布点</w:t>
      </w:r>
      <w:bookmarkEnd w:id="248"/>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49" w:name="_Toc6148_WPSOffice_Level1"/>
      <w:r>
        <w:rPr>
          <w:rStyle w:val="63"/>
          <w:rFonts w:ascii="Times New Roman"/>
        </w:rPr>
        <w:t>5.2 风险管控效果评估布点</w:t>
      </w:r>
      <w:bookmarkEnd w:id="249"/>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6 现场采样与实验室检测</w:t>
      </w:r>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50" w:name="_Toc22954_WPSOffice_Level1"/>
      <w:r>
        <w:rPr>
          <w:rStyle w:val="63"/>
          <w:rFonts w:ascii="Times New Roman"/>
        </w:rPr>
        <w:t>6.1 样品采集</w:t>
      </w:r>
      <w:bookmarkEnd w:id="250"/>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51" w:name="_Toc5148_WPSOffice_Level1"/>
      <w:r>
        <w:rPr>
          <w:rStyle w:val="63"/>
          <w:rFonts w:ascii="Times New Roman"/>
        </w:rPr>
        <w:t>6.2 实验室检测</w:t>
      </w:r>
      <w:bookmarkEnd w:id="251"/>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7 效果评估</w:t>
      </w:r>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52" w:name="_Toc29702_WPSOffice_Level1"/>
      <w:r>
        <w:rPr>
          <w:rStyle w:val="63"/>
          <w:rFonts w:ascii="Times New Roman"/>
        </w:rPr>
        <w:t>7.1 检测结果分析</w:t>
      </w:r>
      <w:bookmarkEnd w:id="252"/>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53" w:name="_Toc15922_WPSOffice_Level1"/>
      <w:r>
        <w:rPr>
          <w:rStyle w:val="63"/>
          <w:rFonts w:ascii="Times New Roman"/>
        </w:rPr>
        <w:t>7.2 效果评估</w:t>
      </w:r>
      <w:bookmarkEnd w:id="253"/>
    </w:p>
    <w:p>
      <w:pPr>
        <w:pStyle w:val="62"/>
        <w:tabs>
          <w:tab w:val="center" w:pos="4201"/>
          <w:tab w:val="right" w:leader="dot" w:pos="9298"/>
        </w:tabs>
        <w:spacing w:line="360" w:lineRule="exact"/>
        <w:ind w:firstLine="422"/>
        <w:rPr>
          <w:rStyle w:val="63"/>
          <w:rFonts w:ascii="Times New Roman"/>
          <w:b/>
          <w:bCs/>
        </w:rPr>
      </w:pPr>
      <w:r>
        <w:rPr>
          <w:rStyle w:val="63"/>
          <w:rFonts w:ascii="Times New Roman"/>
          <w:b/>
          <w:bCs/>
        </w:rPr>
        <w:t>8 结论与建议</w:t>
      </w:r>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54" w:name="_Toc6883_WPSOffice_Level1"/>
      <w:r>
        <w:rPr>
          <w:rStyle w:val="63"/>
          <w:rFonts w:ascii="Times New Roman"/>
        </w:rPr>
        <w:t>8.1 效果评估结论</w:t>
      </w:r>
      <w:bookmarkEnd w:id="254"/>
    </w:p>
    <w:p>
      <w:pPr>
        <w:pStyle w:val="62"/>
        <w:tabs>
          <w:tab w:val="center" w:pos="4201"/>
          <w:tab w:val="right" w:leader="dot" w:pos="9298"/>
        </w:tabs>
        <w:spacing w:line="360" w:lineRule="exact"/>
        <w:rPr>
          <w:rStyle w:val="63"/>
          <w:rFonts w:ascii="Times New Roman"/>
        </w:rPr>
      </w:pPr>
      <w:r>
        <w:rPr>
          <w:rStyle w:val="63"/>
          <w:rFonts w:ascii="Times New Roman"/>
        </w:rPr>
        <w:t xml:space="preserve">  </w:t>
      </w:r>
      <w:bookmarkStart w:id="255" w:name="_Toc10339_WPSOffice_Level1"/>
      <w:r>
        <w:rPr>
          <w:rStyle w:val="63"/>
          <w:rFonts w:ascii="Times New Roman"/>
        </w:rPr>
        <w:t>8.2 后期环境监管建议</w:t>
      </w:r>
      <w:bookmarkEnd w:id="255"/>
    </w:p>
    <w:p>
      <w:pPr>
        <w:pStyle w:val="62"/>
        <w:tabs>
          <w:tab w:val="center" w:pos="4201"/>
          <w:tab w:val="right" w:leader="dot" w:pos="9298"/>
        </w:tabs>
        <w:spacing w:line="360" w:lineRule="exact"/>
        <w:ind w:firstLine="422"/>
        <w:rPr>
          <w:rStyle w:val="63"/>
          <w:rFonts w:ascii="Times New Roman"/>
        </w:rPr>
      </w:pPr>
      <w:r>
        <w:rPr>
          <w:rStyle w:val="63"/>
          <w:rFonts w:ascii="Times New Roman"/>
          <w:b/>
          <w:bCs/>
        </w:rPr>
        <w:t>9 附件</w:t>
      </w:r>
      <w:r>
        <w:rPr>
          <w:rStyle w:val="63"/>
          <w:rFonts w:ascii="Times New Roman"/>
        </w:rPr>
        <w:t>（</w:t>
      </w:r>
      <w:bookmarkStart w:id="256" w:name="_Hlk42979530"/>
      <w:r>
        <w:rPr>
          <w:rStyle w:val="63"/>
          <w:rFonts w:ascii="Times New Roman"/>
        </w:rPr>
        <w:t>地块权属信息、修复范围图、水文地质剖面图、钻孔结构图、岩心箱照片、采样记录单、建井结构图、洗井记录单、地下水采样记录单、实验室检测报告（加盖CMA章）、工程竣工报告或施工总结报告、环境监理总结报告、效果评估监测报告</w:t>
      </w:r>
      <w:bookmarkEnd w:id="256"/>
      <w:r>
        <w:rPr>
          <w:rStyle w:val="63"/>
          <w:rFonts w:ascii="Times New Roman"/>
        </w:rPr>
        <w:t>）</w:t>
      </w:r>
    </w:p>
    <w:p>
      <w:pPr>
        <w:adjustRightInd w:val="0"/>
        <w:spacing w:line="360" w:lineRule="exact"/>
        <w:ind w:firstLine="560"/>
        <w:rPr>
          <w:rFonts w:cs="Times New Roman"/>
        </w:rPr>
      </w:pPr>
    </w:p>
    <w:p>
      <w:pPr>
        <w:adjustRightInd w:val="0"/>
        <w:spacing w:line="360" w:lineRule="exact"/>
        <w:ind w:firstLine="560"/>
        <w:rPr>
          <w:rFonts w:cs="Times New Roman"/>
        </w:rPr>
      </w:pPr>
    </w:p>
    <w:p>
      <w:pPr>
        <w:adjustRightInd w:val="0"/>
        <w:spacing w:line="360" w:lineRule="exact"/>
        <w:ind w:firstLine="560"/>
        <w:rPr>
          <w:rFonts w:cs="Times New Roman"/>
        </w:rPr>
      </w:pPr>
    </w:p>
    <w:p>
      <w:pPr>
        <w:pStyle w:val="2"/>
        <w:adjustRightInd w:val="0"/>
        <w:spacing w:before="120" w:line="360" w:lineRule="exact"/>
        <w:jc w:val="both"/>
        <w:sectPr>
          <w:pgSz w:w="11906" w:h="16838"/>
          <w:pgMar w:top="1440" w:right="1797" w:bottom="1440" w:left="1797" w:header="851" w:footer="992" w:gutter="0"/>
          <w:cols w:space="425" w:num="1"/>
          <w:docGrid w:linePitch="435" w:charSpace="0"/>
        </w:sectPr>
      </w:pPr>
    </w:p>
    <w:p>
      <w:pPr>
        <w:pStyle w:val="3"/>
        <w:adjustRightInd w:val="0"/>
        <w:spacing w:before="120" w:after="120" w:line="360" w:lineRule="exact"/>
        <w:rPr>
          <w:rFonts w:cs="Times New Roman"/>
        </w:rPr>
      </w:pPr>
      <w:bookmarkStart w:id="257" w:name="_Toc30314"/>
      <w:bookmarkStart w:id="258" w:name="_Toc19748"/>
      <w:r>
        <w:rPr>
          <w:rFonts w:cs="Times New Roman"/>
        </w:rPr>
        <w:t xml:space="preserve">附表1 </w:t>
      </w:r>
      <w:bookmarkStart w:id="259" w:name="_Hlk35866116"/>
      <w:r>
        <w:rPr>
          <w:rFonts w:cs="Times New Roman"/>
        </w:rPr>
        <w:t>建设用地土壤污染状况调查报告审查</w:t>
      </w:r>
      <w:bookmarkEnd w:id="257"/>
      <w:bookmarkEnd w:id="259"/>
      <w:r>
        <w:rPr>
          <w:rFonts w:hint="eastAsia" w:cs="Times New Roman"/>
        </w:rPr>
        <w:t>评价表</w:t>
      </w:r>
      <w:bookmarkEnd w:id="258"/>
    </w:p>
    <w:p>
      <w:pPr>
        <w:pStyle w:val="62"/>
        <w:tabs>
          <w:tab w:val="center" w:pos="4201"/>
          <w:tab w:val="right" w:leader="dot" w:pos="9298"/>
        </w:tabs>
        <w:spacing w:line="360" w:lineRule="exact"/>
        <w:rPr>
          <w:rStyle w:val="63"/>
          <w:rFonts w:ascii="Times New Roman"/>
        </w:rPr>
      </w:pPr>
      <w:bookmarkStart w:id="260" w:name="_Toc19364_WPSOffice_Level1"/>
      <w:r>
        <w:rPr>
          <w:rStyle w:val="63"/>
          <w:rFonts w:ascii="Times New Roman"/>
        </w:rPr>
        <w:t>报告审查包括但不限于以下内容：</w:t>
      </w:r>
      <w:bookmarkEnd w:id="260"/>
    </w:p>
    <w:p>
      <w:pPr>
        <w:pStyle w:val="62"/>
        <w:tabs>
          <w:tab w:val="center" w:pos="4201"/>
          <w:tab w:val="right" w:leader="dot" w:pos="9298"/>
        </w:tabs>
        <w:spacing w:line="360" w:lineRule="exact"/>
        <w:rPr>
          <w:rStyle w:val="63"/>
          <w:rFonts w:ascii="Times New Roman"/>
          <w:u w:val="single"/>
        </w:rPr>
      </w:pPr>
      <w:bookmarkStart w:id="261" w:name="_Toc13443_WPSOffice_Level1"/>
      <w:r>
        <w:rPr>
          <w:rStyle w:val="63"/>
          <w:rFonts w:ascii="Times New Roman"/>
        </w:rPr>
        <w:t>项目名称：</w:t>
      </w:r>
      <w:r>
        <w:rPr>
          <w:rStyle w:val="63"/>
          <w:rFonts w:ascii="Times New Roman"/>
          <w:u w:val="single"/>
        </w:rPr>
        <w:t xml:space="preserve">                    </w:t>
      </w:r>
      <w:r>
        <w:rPr>
          <w:rStyle w:val="63"/>
          <w:rFonts w:ascii="Times New Roman"/>
        </w:rPr>
        <w:t xml:space="preserve">             评审专家：</w:t>
      </w:r>
      <w:r>
        <w:rPr>
          <w:rStyle w:val="63"/>
          <w:rFonts w:ascii="Times New Roman"/>
          <w:u w:val="single"/>
        </w:rPr>
        <w:t xml:space="preserve">              </w:t>
      </w:r>
      <w:r>
        <w:rPr>
          <w:rStyle w:val="63"/>
          <w:rFonts w:ascii="Times New Roman"/>
        </w:rPr>
        <w:t xml:space="preserve">              评审时间：</w:t>
      </w:r>
      <w:bookmarkEnd w:id="261"/>
      <w:r>
        <w:rPr>
          <w:rStyle w:val="63"/>
          <w:rFonts w:ascii="Times New Roman"/>
          <w:u w:val="single"/>
        </w:rPr>
        <w:t xml:space="preserve">                 </w:t>
      </w:r>
    </w:p>
    <w:tbl>
      <w:tblPr>
        <w:tblStyle w:val="18"/>
        <w:tblW w:w="13547" w:type="dxa"/>
        <w:jc w:val="center"/>
        <w:tblLayout w:type="fixed"/>
        <w:tblCellMar>
          <w:top w:w="0" w:type="dxa"/>
          <w:left w:w="108" w:type="dxa"/>
          <w:bottom w:w="0" w:type="dxa"/>
          <w:right w:w="108" w:type="dxa"/>
        </w:tblCellMar>
      </w:tblPr>
      <w:tblGrid>
        <w:gridCol w:w="501"/>
        <w:gridCol w:w="1243"/>
        <w:gridCol w:w="1423"/>
        <w:gridCol w:w="8180"/>
        <w:gridCol w:w="1100"/>
        <w:gridCol w:w="1100"/>
      </w:tblGrid>
      <w:tr>
        <w:tblPrEx>
          <w:tblCellMar>
            <w:top w:w="0" w:type="dxa"/>
            <w:left w:w="108" w:type="dxa"/>
            <w:bottom w:w="0" w:type="dxa"/>
            <w:right w:w="108" w:type="dxa"/>
          </w:tblCellMar>
        </w:tblPrEx>
        <w:trPr>
          <w:trHeight w:val="624" w:hRule="atLeast"/>
          <w:tblHeader/>
          <w:jc w:val="center"/>
        </w:trPr>
        <w:tc>
          <w:tcPr>
            <w:tcW w:w="5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b/>
                <w:bCs/>
                <w:color w:val="000000"/>
                <w:kern w:val="0"/>
                <w:sz w:val="18"/>
                <w:szCs w:val="18"/>
              </w:rPr>
            </w:pPr>
            <w:r>
              <w:rPr>
                <w:rFonts w:eastAsia="宋体" w:cs="Times New Roman"/>
                <w:b/>
                <w:bCs/>
                <w:color w:val="000000"/>
                <w:kern w:val="0"/>
                <w:sz w:val="18"/>
                <w:szCs w:val="18"/>
              </w:rPr>
              <w:t>序号</w:t>
            </w:r>
          </w:p>
        </w:tc>
        <w:tc>
          <w:tcPr>
            <w:tcW w:w="1243"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b/>
                <w:bCs/>
                <w:color w:val="000000"/>
                <w:kern w:val="0"/>
                <w:sz w:val="18"/>
                <w:szCs w:val="18"/>
              </w:rPr>
            </w:pPr>
            <w:r>
              <w:rPr>
                <w:rFonts w:eastAsia="宋体" w:cs="Times New Roman"/>
                <w:b/>
                <w:bCs/>
                <w:color w:val="000000"/>
                <w:kern w:val="0"/>
                <w:sz w:val="18"/>
                <w:szCs w:val="18"/>
              </w:rPr>
              <w:t>主要项目</w:t>
            </w:r>
          </w:p>
        </w:tc>
        <w:tc>
          <w:tcPr>
            <w:tcW w:w="1423"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b/>
                <w:bCs/>
                <w:color w:val="000000"/>
                <w:kern w:val="0"/>
                <w:sz w:val="18"/>
                <w:szCs w:val="18"/>
              </w:rPr>
            </w:pPr>
            <w:r>
              <w:rPr>
                <w:rFonts w:eastAsia="宋体" w:cs="Times New Roman"/>
                <w:b/>
                <w:bCs/>
                <w:color w:val="000000"/>
                <w:kern w:val="0"/>
                <w:sz w:val="18"/>
                <w:szCs w:val="18"/>
              </w:rPr>
              <w:t>撰写内容</w:t>
            </w:r>
          </w:p>
        </w:tc>
        <w:tc>
          <w:tcPr>
            <w:tcW w:w="8180"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b/>
                <w:bCs/>
                <w:color w:val="000000"/>
                <w:kern w:val="0"/>
                <w:sz w:val="18"/>
                <w:szCs w:val="18"/>
              </w:rPr>
            </w:pPr>
            <w:r>
              <w:rPr>
                <w:rFonts w:eastAsia="宋体" w:cs="Times New Roman"/>
                <w:b/>
                <w:bCs/>
                <w:color w:val="000000"/>
                <w:kern w:val="0"/>
                <w:sz w:val="18"/>
                <w:szCs w:val="18"/>
              </w:rPr>
              <w:t>审查要点</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b/>
                <w:bCs/>
                <w:color w:val="000000"/>
                <w:kern w:val="0"/>
                <w:sz w:val="18"/>
                <w:szCs w:val="18"/>
              </w:rPr>
            </w:pPr>
            <w:r>
              <w:rPr>
                <w:rFonts w:eastAsia="宋体" w:cs="Times New Roman"/>
                <w:b/>
                <w:bCs/>
                <w:color w:val="000000"/>
                <w:kern w:val="0"/>
                <w:sz w:val="18"/>
                <w:szCs w:val="18"/>
              </w:rPr>
              <w:t>分值</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b/>
                <w:bCs/>
                <w:color w:val="000000"/>
                <w:kern w:val="0"/>
                <w:sz w:val="18"/>
                <w:szCs w:val="18"/>
              </w:rPr>
            </w:pPr>
            <w:r>
              <w:rPr>
                <w:rFonts w:eastAsia="宋体" w:cs="Times New Roman"/>
                <w:b/>
                <w:bCs/>
                <w:color w:val="000000"/>
                <w:kern w:val="0"/>
                <w:sz w:val="18"/>
                <w:szCs w:val="18"/>
              </w:rPr>
              <w:t>打分</w:t>
            </w:r>
          </w:p>
        </w:tc>
      </w:tr>
      <w:tr>
        <w:tblPrEx>
          <w:tblCellMar>
            <w:top w:w="0" w:type="dxa"/>
            <w:left w:w="108" w:type="dxa"/>
            <w:bottom w:w="0" w:type="dxa"/>
            <w:right w:w="108" w:type="dxa"/>
          </w:tblCellMar>
        </w:tblPrEx>
        <w:trPr>
          <w:trHeight w:val="312" w:hRule="atLeast"/>
          <w:jc w:val="center"/>
        </w:trPr>
        <w:tc>
          <w:tcPr>
            <w:tcW w:w="501" w:type="dxa"/>
            <w:vMerge w:val="restart"/>
            <w:tcBorders>
              <w:top w:val="nil"/>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w:t>
            </w:r>
          </w:p>
        </w:tc>
        <w:tc>
          <w:tcPr>
            <w:tcW w:w="1243" w:type="dxa"/>
            <w:vMerge w:val="restart"/>
            <w:tcBorders>
              <w:top w:val="nil"/>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形式审查</w:t>
            </w:r>
          </w:p>
        </w:tc>
        <w:tc>
          <w:tcPr>
            <w:tcW w:w="1423" w:type="dxa"/>
            <w:vMerge w:val="restart"/>
            <w:tcBorders>
              <w:top w:val="nil"/>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　</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地块权属信息</w:t>
            </w:r>
          </w:p>
        </w:tc>
        <w:tc>
          <w:tcPr>
            <w:tcW w:w="1100"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形式审查一票否决，不设分值</w:t>
            </w:r>
          </w:p>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421"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送审报告是否加盖从业单位和土地使用权人（或土壤污染责任人）的公章</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送审报告是否明确项目负责人和从业人员信息及亲笔签字</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检测实验室是否具有土壤和水质检测项目国家资质委员会认可的资质</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sz w:val="18"/>
                <w:szCs w:val="18"/>
              </w:rPr>
              <w:t>是否提交国家资质委员会认可的实验室检测报告</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sz w:val="18"/>
                <w:szCs w:val="18"/>
              </w:rPr>
            </w:pPr>
            <w:r>
              <w:rPr>
                <w:rFonts w:eastAsia="宋体" w:cs="Times New Roman"/>
                <w:sz w:val="18"/>
                <w:szCs w:val="18"/>
              </w:rPr>
              <w:t>报告是否完整，包括</w:t>
            </w:r>
            <w:r>
              <w:rPr>
                <w:rFonts w:hint="eastAsia" w:eastAsia="宋体" w:cs="Times New Roman"/>
                <w:sz w:val="18"/>
                <w:szCs w:val="18"/>
              </w:rPr>
              <w:t>：</w:t>
            </w:r>
            <w:r>
              <w:rPr>
                <w:rFonts w:eastAsia="宋体" w:cs="Times New Roman"/>
                <w:sz w:val="18"/>
                <w:szCs w:val="18"/>
              </w:rPr>
              <w:t>摘要、正文和附件</w:t>
            </w:r>
          </w:p>
        </w:tc>
        <w:tc>
          <w:tcPr>
            <w:tcW w:w="1100"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960" w:hRule="atLeast"/>
          <w:jc w:val="center"/>
        </w:trPr>
        <w:tc>
          <w:tcPr>
            <w:tcW w:w="50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2</w:t>
            </w:r>
          </w:p>
        </w:tc>
        <w:tc>
          <w:tcPr>
            <w:tcW w:w="1243"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污染识别</w:t>
            </w:r>
          </w:p>
        </w:tc>
        <w:tc>
          <w:tcPr>
            <w:tcW w:w="1423"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资料收集</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地块资料收集是否齐全，包括：地理位置图、各历史时期地形图、产品、原辅材料及中间体清单、平面布置图、工艺流程图、地下管线图、化学化学品储存及使用清单、地勘报告等</w:t>
            </w:r>
          </w:p>
        </w:tc>
        <w:tc>
          <w:tcPr>
            <w:tcW w:w="1100"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10</w:t>
            </w: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36" w:hRule="atLeast"/>
          <w:jc w:val="center"/>
        </w:trPr>
        <w:tc>
          <w:tcPr>
            <w:tcW w:w="501"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地块位置、面积、边界表述是否准确，包括：地块位置图、地块范围图、边界拐点坐标</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地块周边现状与历史情况表述完整性与准确性</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区域自然环境概况表述是否完整、准确</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周边敏感目标描述是否完整、准确</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407" w:hRule="atLeast"/>
          <w:jc w:val="center"/>
        </w:trPr>
        <w:tc>
          <w:tcPr>
            <w:tcW w:w="501"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地块未来规划用途是否明确，如无明确规划应以最严格的方式进行调查</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现场踏勘</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是否进行踏勘</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1048" w:hRule="atLeast"/>
          <w:jc w:val="center"/>
        </w:trPr>
        <w:tc>
          <w:tcPr>
            <w:tcW w:w="501"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踏勘过程是否包括地块重点区域、污染痕迹、储槽与管线、化学品味道和刺激性气味、排水管/渠、污水或其他地表水体、废物堆放地、周边可能存在污染的企业以及周边敏感点，并描述与周边敏感点与地块的位置关系</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人员访谈</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是否进行人员访谈</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01"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是否能准确体现地块及周边的环境状况</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信息分析及结论</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是否明确地块及周围区域有无可能的污染源</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现场污染痕迹和潜在污染状况和污染因子识别的全面性与准确性</w:t>
            </w:r>
          </w:p>
        </w:tc>
        <w:tc>
          <w:tcPr>
            <w:tcW w:w="1100"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restart"/>
            <w:tcBorders>
              <w:top w:val="nil"/>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3</w:t>
            </w:r>
          </w:p>
        </w:tc>
        <w:tc>
          <w:tcPr>
            <w:tcW w:w="1243"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初步采样布点方案</w:t>
            </w:r>
          </w:p>
        </w:tc>
        <w:tc>
          <w:tcPr>
            <w:tcW w:w="1423"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调查范围</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调查范围是否合理</w:t>
            </w:r>
          </w:p>
        </w:tc>
        <w:tc>
          <w:tcPr>
            <w:tcW w:w="1100"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20</w:t>
            </w: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监测介质</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是否调查地块内疑似污染的介质</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94"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监测项目</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土壤样品监测指标是否包含《土壤环境质量建设用地土壤污染风险管控标准》（GB 36600）中的45项必测项和污染识别阶段确定的关注污染物</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地下水监测指标是否包括污染识别阶段的所有污染物</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土壤点位布设</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采样点数量是否满足相关规范要求</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布点位置的设置是否具有科学性、合理性、针对性</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地下水点位布设</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采样点数量是否满足相关规范要求</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布点位置的设置是否具有科学性、合理性、针对性</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地表水/底泥点位布设</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采样点数量是否满足相关规范要求</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92"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布点位置的设置是否具有科学性、合理性、针对性</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92"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restart"/>
            <w:tcBorders>
              <w:top w:val="nil"/>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详细采样布点方案</w:t>
            </w:r>
          </w:p>
        </w:tc>
        <w:tc>
          <w:tcPr>
            <w:tcW w:w="1423"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调查范围</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是否为初步调查中污染物含量超过本地块筛选值的区域</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92"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监测介质</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是否包括初步调查中发现存在超标情况的环境介质</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92"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restart"/>
            <w:tcBorders>
              <w:top w:val="nil"/>
              <w:left w:val="single" w:color="auto" w:sz="4" w:space="0"/>
              <w:right w:val="single" w:color="auto" w:sz="4" w:space="0"/>
            </w:tcBorders>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土壤点位布设</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采样点数量是否满足相关规范要求</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92"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布点位置的设置是否具有科学性、合理性、针对性</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92"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采样深度是否大于初步调查监测污染的超标深度</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92"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restart"/>
            <w:tcBorders>
              <w:top w:val="nil"/>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地下水点位布设</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采样点数量是否满足相关规范要求</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92" w:hRule="atLeast"/>
          <w:jc w:val="center"/>
        </w:trPr>
        <w:tc>
          <w:tcPr>
            <w:tcW w:w="501"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布点位置的设置是否具有科学性、合理性、针对性</w:t>
            </w:r>
          </w:p>
        </w:tc>
        <w:tc>
          <w:tcPr>
            <w:tcW w:w="1100"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92" w:hRule="atLeast"/>
          <w:jc w:val="center"/>
        </w:trPr>
        <w:tc>
          <w:tcPr>
            <w:tcW w:w="501" w:type="dxa"/>
            <w:vMerge w:val="restart"/>
            <w:tcBorders>
              <w:top w:val="nil"/>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4</w:t>
            </w:r>
          </w:p>
        </w:tc>
        <w:tc>
          <w:tcPr>
            <w:tcW w:w="1243" w:type="dxa"/>
            <w:vMerge w:val="restart"/>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水文地质调查</w:t>
            </w:r>
          </w:p>
        </w:tc>
        <w:tc>
          <w:tcPr>
            <w:tcW w:w="1423" w:type="dxa"/>
            <w:vMerge w:val="restart"/>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调查内容</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是否调查地块土层结构及分布情况</w:t>
            </w:r>
          </w:p>
        </w:tc>
        <w:tc>
          <w:tcPr>
            <w:tcW w:w="1100" w:type="dxa"/>
            <w:vMerge w:val="restart"/>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5</w:t>
            </w:r>
          </w:p>
        </w:tc>
        <w:tc>
          <w:tcPr>
            <w:tcW w:w="1100" w:type="dxa"/>
            <w:vMerge w:val="restart"/>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92" w:hRule="atLeast"/>
          <w:jc w:val="center"/>
        </w:trPr>
        <w:tc>
          <w:tcPr>
            <w:tcW w:w="501"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是否包括地下水位、水力梯度、地下水流速及流向等内容</w:t>
            </w:r>
          </w:p>
        </w:tc>
        <w:tc>
          <w:tcPr>
            <w:tcW w:w="1100"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restart"/>
            <w:tcBorders>
              <w:top w:val="nil"/>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5</w:t>
            </w:r>
          </w:p>
        </w:tc>
        <w:tc>
          <w:tcPr>
            <w:tcW w:w="1243" w:type="dxa"/>
            <w:vMerge w:val="restart"/>
            <w:tcBorders>
              <w:top w:val="nil"/>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样品采集和检测</w:t>
            </w:r>
          </w:p>
        </w:tc>
        <w:tc>
          <w:tcPr>
            <w:tcW w:w="1423"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土壤样品采集</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采样深度是否合理</w:t>
            </w:r>
          </w:p>
        </w:tc>
        <w:tc>
          <w:tcPr>
            <w:tcW w:w="1100"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10</w:t>
            </w: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土壤采样方法是否规范</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地下水样品采集</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采样深度是否合理</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地下水建井是否规范</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地下水采样方法是否规范</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471"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603"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样品保存、流转、运输过程是否规范</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36" w:hRule="atLeast"/>
          <w:jc w:val="center"/>
        </w:trPr>
        <w:tc>
          <w:tcPr>
            <w:tcW w:w="501" w:type="dxa"/>
            <w:vMerge w:val="continue"/>
            <w:tcBorders>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43" w:type="dxa"/>
            <w:vMerge w:val="continue"/>
            <w:tcBorders>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423"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实验室资质</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是否具有土壤和水质检测项目的CMA资质</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90" w:hRule="atLeast"/>
          <w:jc w:val="center"/>
        </w:trPr>
        <w:tc>
          <w:tcPr>
            <w:tcW w:w="501"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分析测试方法</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测试项目的分析测试方法是否明确，测试方法检出限是否满足要求</w:t>
            </w:r>
          </w:p>
        </w:tc>
        <w:tc>
          <w:tcPr>
            <w:tcW w:w="1100"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553" w:hRule="atLeast"/>
          <w:jc w:val="center"/>
        </w:trPr>
        <w:tc>
          <w:tcPr>
            <w:tcW w:w="50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6</w:t>
            </w:r>
          </w:p>
        </w:tc>
        <w:tc>
          <w:tcPr>
            <w:tcW w:w="1243"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质量保证与质量控制</w:t>
            </w:r>
          </w:p>
        </w:tc>
        <w:tc>
          <w:tcPr>
            <w:tcW w:w="1423"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　</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样品采集、保存、流转的QA/QC是否符合要求</w:t>
            </w:r>
          </w:p>
        </w:tc>
        <w:tc>
          <w:tcPr>
            <w:tcW w:w="1100"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5</w:t>
            </w:r>
          </w:p>
        </w:tc>
        <w:tc>
          <w:tcPr>
            <w:tcW w:w="1100"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　</w:t>
            </w:r>
          </w:p>
        </w:tc>
        <w:tc>
          <w:tcPr>
            <w:tcW w:w="8180" w:type="dxa"/>
            <w:tcBorders>
              <w:top w:val="nil"/>
              <w:left w:val="nil"/>
              <w:bottom w:val="single" w:color="auto" w:sz="4" w:space="0"/>
              <w:right w:val="single" w:color="auto" w:sz="4" w:space="0"/>
            </w:tcBorders>
            <w:shd w:val="clear" w:color="000000" w:fill="FFFFFF"/>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样品检测方法及其过程的QA/QC是否符合要求</w:t>
            </w:r>
          </w:p>
        </w:tc>
        <w:tc>
          <w:tcPr>
            <w:tcW w:w="1100"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24" w:hRule="atLeast"/>
          <w:jc w:val="center"/>
        </w:trPr>
        <w:tc>
          <w:tcPr>
            <w:tcW w:w="501" w:type="dxa"/>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7</w:t>
            </w:r>
          </w:p>
        </w:tc>
        <w:tc>
          <w:tcPr>
            <w:tcW w:w="1243"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筛选值的选取</w:t>
            </w:r>
          </w:p>
        </w:tc>
        <w:tc>
          <w:tcPr>
            <w:tcW w:w="1423"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　</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筛选值的选取是否合理</w:t>
            </w:r>
          </w:p>
        </w:tc>
        <w:tc>
          <w:tcPr>
            <w:tcW w:w="110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5</w:t>
            </w:r>
          </w:p>
        </w:tc>
        <w:tc>
          <w:tcPr>
            <w:tcW w:w="110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36" w:hRule="atLeast"/>
          <w:jc w:val="center"/>
        </w:trPr>
        <w:tc>
          <w:tcPr>
            <w:tcW w:w="501" w:type="dxa"/>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8</w:t>
            </w:r>
          </w:p>
        </w:tc>
        <w:tc>
          <w:tcPr>
            <w:tcW w:w="1243"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数据分析与评估</w:t>
            </w:r>
          </w:p>
        </w:tc>
        <w:tc>
          <w:tcPr>
            <w:tcW w:w="1423"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　</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样品检测数据汇总整理、分析和表征是否科学、准确、全面，包含污染源解析和成因分析</w:t>
            </w:r>
          </w:p>
        </w:tc>
        <w:tc>
          <w:tcPr>
            <w:tcW w:w="110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15</w:t>
            </w:r>
          </w:p>
        </w:tc>
        <w:tc>
          <w:tcPr>
            <w:tcW w:w="110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9</w:t>
            </w:r>
          </w:p>
        </w:tc>
        <w:tc>
          <w:tcPr>
            <w:tcW w:w="1243"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结论与建议</w:t>
            </w:r>
          </w:p>
        </w:tc>
        <w:tc>
          <w:tcPr>
            <w:tcW w:w="1423"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结论</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是否明确土壤和地下水是否受到污染</w:t>
            </w:r>
          </w:p>
        </w:tc>
        <w:tc>
          <w:tcPr>
            <w:tcW w:w="1100"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20</w:t>
            </w:r>
          </w:p>
        </w:tc>
        <w:tc>
          <w:tcPr>
            <w:tcW w:w="1100"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01"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是否明确地块后续风险评估工作的需求，以及污染物和污染区域</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495" w:hRule="atLeast"/>
          <w:jc w:val="center"/>
        </w:trPr>
        <w:tc>
          <w:tcPr>
            <w:tcW w:w="501"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建议</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是否具有针对性、科学性和合理性</w:t>
            </w:r>
          </w:p>
        </w:tc>
        <w:tc>
          <w:tcPr>
            <w:tcW w:w="1100"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01" w:type="dxa"/>
            <w:vMerge w:val="restart"/>
            <w:tcBorders>
              <w:top w:val="nil"/>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10</w:t>
            </w:r>
          </w:p>
        </w:tc>
        <w:tc>
          <w:tcPr>
            <w:tcW w:w="1243" w:type="dxa"/>
            <w:vMerge w:val="restart"/>
            <w:tcBorders>
              <w:top w:val="nil"/>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附件</w:t>
            </w:r>
          </w:p>
        </w:tc>
        <w:tc>
          <w:tcPr>
            <w:tcW w:w="1423" w:type="dxa"/>
            <w:vMerge w:val="restart"/>
            <w:tcBorders>
              <w:top w:val="nil"/>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　</w:t>
            </w: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人员访谈记录</w:t>
            </w:r>
          </w:p>
        </w:tc>
        <w:tc>
          <w:tcPr>
            <w:tcW w:w="1100"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10</w:t>
            </w:r>
          </w:p>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现场踏勘、现场记录照片</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土壤钻孔柱状图</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现场采样记录单、监测井建井记录、洗井记录表是否齐全、规范</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质量控制结果</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01"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样品追踪监管记录</w:t>
            </w: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458" w:hRule="atLeast"/>
          <w:jc w:val="center"/>
        </w:trPr>
        <w:tc>
          <w:tcPr>
            <w:tcW w:w="501"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43"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23"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180"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水文地质勘察报告</w:t>
            </w:r>
          </w:p>
        </w:tc>
        <w:tc>
          <w:tcPr>
            <w:tcW w:w="1100"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100"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bl>
    <w:p>
      <w:pPr>
        <w:adjustRightInd w:val="0"/>
        <w:spacing w:line="360" w:lineRule="exact"/>
        <w:ind w:firstLine="360"/>
        <w:rPr>
          <w:rFonts w:eastAsia="宋体" w:cs="Times New Roman"/>
          <w:sz w:val="18"/>
          <w:szCs w:val="18"/>
        </w:rPr>
      </w:pPr>
      <w:r>
        <w:rPr>
          <w:rFonts w:eastAsia="宋体" w:cs="Times New Roman"/>
          <w:sz w:val="18"/>
          <w:szCs w:val="18"/>
        </w:rPr>
        <w:t>备注：1.表格中分值为单件评价量化分值。</w:t>
      </w:r>
    </w:p>
    <w:p>
      <w:pPr>
        <w:numPr>
          <w:ilvl w:val="255"/>
          <w:numId w:val="0"/>
        </w:numPr>
        <w:adjustRightInd w:val="0"/>
        <w:spacing w:line="360" w:lineRule="exact"/>
        <w:ind w:firstLine="900" w:firstLineChars="500"/>
        <w:rPr>
          <w:rFonts w:eastAsia="宋体" w:cs="Times New Roman"/>
          <w:sz w:val="18"/>
          <w:szCs w:val="18"/>
        </w:rPr>
      </w:pPr>
      <w:r>
        <w:rPr>
          <w:rFonts w:hint="eastAsia" w:eastAsia="宋体" w:cs="Times New Roman"/>
          <w:sz w:val="18"/>
          <w:szCs w:val="18"/>
        </w:rPr>
        <w:t>2.</w:t>
      </w:r>
      <w:r>
        <w:rPr>
          <w:rFonts w:eastAsia="宋体" w:cs="Times New Roman"/>
          <w:sz w:val="18"/>
          <w:szCs w:val="18"/>
        </w:rPr>
        <w:t>形式审查由评审组织单位审核，形式审查不通过则不予评审。</w:t>
      </w:r>
    </w:p>
    <w:p>
      <w:pPr>
        <w:numPr>
          <w:ilvl w:val="255"/>
          <w:numId w:val="0"/>
        </w:numPr>
        <w:adjustRightInd w:val="0"/>
        <w:spacing w:line="360" w:lineRule="exact"/>
        <w:ind w:firstLine="900" w:firstLineChars="500"/>
        <w:rPr>
          <w:rFonts w:eastAsia="宋体" w:cs="Times New Roman"/>
          <w:sz w:val="18"/>
          <w:szCs w:val="18"/>
        </w:rPr>
      </w:pPr>
      <w:r>
        <w:rPr>
          <w:rFonts w:hint="eastAsia" w:eastAsia="宋体" w:cs="Times New Roman"/>
          <w:sz w:val="18"/>
          <w:szCs w:val="18"/>
        </w:rPr>
        <w:t>3.</w:t>
      </w:r>
      <w:r>
        <w:rPr>
          <w:rFonts w:eastAsia="宋体" w:cs="Times New Roman"/>
          <w:sz w:val="18"/>
          <w:szCs w:val="18"/>
        </w:rPr>
        <w:t>评分为90分（含）以上的，技术文件直接评审通过；评分为60分（含）至90分的，技术文件评审通过但需修改；评分为60分以下的，技术文件不予评审通过。</w:t>
      </w:r>
    </w:p>
    <w:p>
      <w:pPr>
        <w:tabs>
          <w:tab w:val="left" w:pos="1418"/>
          <w:tab w:val="left" w:pos="1843"/>
          <w:tab w:val="left" w:pos="2268"/>
        </w:tabs>
        <w:adjustRightInd w:val="0"/>
        <w:spacing w:line="360" w:lineRule="exact"/>
        <w:ind w:firstLine="184" w:firstLineChars="66"/>
        <w:rPr>
          <w:rFonts w:cs="Times New Roman"/>
          <w:szCs w:val="30"/>
        </w:rPr>
      </w:pPr>
    </w:p>
    <w:p>
      <w:pPr>
        <w:tabs>
          <w:tab w:val="left" w:pos="1418"/>
          <w:tab w:val="left" w:pos="1843"/>
          <w:tab w:val="left" w:pos="2268"/>
        </w:tabs>
        <w:adjustRightInd w:val="0"/>
        <w:spacing w:line="360" w:lineRule="exact"/>
        <w:ind w:firstLine="184" w:firstLineChars="66"/>
        <w:rPr>
          <w:rFonts w:cs="Times New Roman"/>
          <w:szCs w:val="30"/>
        </w:rPr>
      </w:pPr>
    </w:p>
    <w:p>
      <w:pPr>
        <w:tabs>
          <w:tab w:val="left" w:pos="1418"/>
          <w:tab w:val="left" w:pos="1843"/>
          <w:tab w:val="left" w:pos="2268"/>
        </w:tabs>
        <w:adjustRightInd w:val="0"/>
        <w:spacing w:line="360" w:lineRule="exact"/>
        <w:ind w:firstLine="184" w:firstLineChars="66"/>
        <w:rPr>
          <w:rFonts w:cs="Times New Roman"/>
          <w:szCs w:val="30"/>
        </w:rPr>
        <w:sectPr>
          <w:pgSz w:w="16838" w:h="11906" w:orient="landscape"/>
          <w:pgMar w:top="1797" w:right="1440" w:bottom="1797" w:left="1440" w:header="851" w:footer="992" w:gutter="0"/>
          <w:cols w:space="425" w:num="1"/>
          <w:docGrid w:type="lines" w:linePitch="435" w:charSpace="0"/>
        </w:sectPr>
      </w:pPr>
    </w:p>
    <w:p>
      <w:pPr>
        <w:pStyle w:val="3"/>
        <w:adjustRightInd w:val="0"/>
        <w:spacing w:before="120" w:after="120" w:line="360" w:lineRule="exact"/>
        <w:rPr>
          <w:rFonts w:cs="Times New Roman"/>
        </w:rPr>
      </w:pPr>
      <w:bookmarkStart w:id="262" w:name="_Toc32365"/>
      <w:bookmarkStart w:id="263" w:name="_Toc7667"/>
      <w:r>
        <w:rPr>
          <w:rFonts w:cs="Times New Roman"/>
        </w:rPr>
        <w:t xml:space="preserve">附表2 </w:t>
      </w:r>
      <w:bookmarkStart w:id="264" w:name="_Hlk35866144"/>
      <w:r>
        <w:rPr>
          <w:rFonts w:cs="Times New Roman"/>
        </w:rPr>
        <w:t>建设用地土壤污染状况风险评估报告审查</w:t>
      </w:r>
      <w:bookmarkEnd w:id="262"/>
      <w:bookmarkEnd w:id="264"/>
      <w:r>
        <w:rPr>
          <w:rFonts w:hint="eastAsia" w:cs="Times New Roman"/>
        </w:rPr>
        <w:t>评价表</w:t>
      </w:r>
      <w:bookmarkEnd w:id="263"/>
    </w:p>
    <w:p>
      <w:pPr>
        <w:pStyle w:val="62"/>
        <w:tabs>
          <w:tab w:val="center" w:pos="4201"/>
          <w:tab w:val="right" w:leader="dot" w:pos="9298"/>
        </w:tabs>
        <w:spacing w:line="360" w:lineRule="exact"/>
        <w:rPr>
          <w:rStyle w:val="63"/>
          <w:rFonts w:ascii="Times New Roman"/>
        </w:rPr>
      </w:pPr>
      <w:bookmarkStart w:id="265" w:name="_Toc3303_WPSOffice_Level1"/>
      <w:r>
        <w:rPr>
          <w:rStyle w:val="63"/>
          <w:rFonts w:ascii="Times New Roman"/>
        </w:rPr>
        <w:t>报告审查包括但不限于以下内容：</w:t>
      </w:r>
      <w:bookmarkEnd w:id="265"/>
    </w:p>
    <w:p>
      <w:pPr>
        <w:pStyle w:val="62"/>
        <w:tabs>
          <w:tab w:val="center" w:pos="4201"/>
          <w:tab w:val="right" w:leader="dot" w:pos="9298"/>
        </w:tabs>
        <w:spacing w:line="360" w:lineRule="exact"/>
        <w:rPr>
          <w:rFonts w:ascii="Times New Roman"/>
          <w:color w:val="000000"/>
          <w:sz w:val="24"/>
          <w:szCs w:val="24"/>
        </w:rPr>
      </w:pPr>
      <w:r>
        <w:rPr>
          <w:rStyle w:val="63"/>
          <w:rFonts w:ascii="Times New Roman"/>
        </w:rPr>
        <w:t>项目名称：</w:t>
      </w:r>
      <w:r>
        <w:rPr>
          <w:rStyle w:val="63"/>
          <w:rFonts w:ascii="Times New Roman"/>
          <w:u w:val="single"/>
        </w:rPr>
        <w:t xml:space="preserve">                    </w:t>
      </w:r>
      <w:r>
        <w:rPr>
          <w:rStyle w:val="63"/>
          <w:rFonts w:ascii="Times New Roman"/>
        </w:rPr>
        <w:t xml:space="preserve">             评审专家：</w:t>
      </w:r>
      <w:r>
        <w:rPr>
          <w:rStyle w:val="63"/>
          <w:rFonts w:ascii="Times New Roman"/>
          <w:u w:val="single"/>
        </w:rPr>
        <w:t xml:space="preserve">              </w:t>
      </w:r>
      <w:r>
        <w:rPr>
          <w:rStyle w:val="63"/>
          <w:rFonts w:ascii="Times New Roman"/>
        </w:rPr>
        <w:t xml:space="preserve">              评审时间：</w:t>
      </w:r>
      <w:r>
        <w:rPr>
          <w:rStyle w:val="63"/>
          <w:rFonts w:ascii="Times New Roman"/>
          <w:u w:val="single"/>
        </w:rPr>
        <w:t xml:space="preserve">                 </w:t>
      </w:r>
      <w:r>
        <w:rPr>
          <w:rFonts w:ascii="Times New Roman"/>
          <w:color w:val="000000"/>
          <w:sz w:val="24"/>
          <w:szCs w:val="24"/>
        </w:rPr>
        <w:t xml:space="preserve"> </w:t>
      </w:r>
    </w:p>
    <w:tbl>
      <w:tblPr>
        <w:tblStyle w:val="18"/>
        <w:tblW w:w="13964" w:type="dxa"/>
        <w:jc w:val="center"/>
        <w:tblLayout w:type="fixed"/>
        <w:tblCellMar>
          <w:top w:w="0" w:type="dxa"/>
          <w:left w:w="108" w:type="dxa"/>
          <w:bottom w:w="0" w:type="dxa"/>
          <w:right w:w="108" w:type="dxa"/>
        </w:tblCellMar>
      </w:tblPr>
      <w:tblGrid>
        <w:gridCol w:w="525"/>
        <w:gridCol w:w="1260"/>
        <w:gridCol w:w="1455"/>
        <w:gridCol w:w="8550"/>
        <w:gridCol w:w="867"/>
        <w:gridCol w:w="1307"/>
      </w:tblGrid>
      <w:tr>
        <w:tblPrEx>
          <w:tblCellMar>
            <w:top w:w="0" w:type="dxa"/>
            <w:left w:w="108" w:type="dxa"/>
            <w:bottom w:w="0" w:type="dxa"/>
            <w:right w:w="108" w:type="dxa"/>
          </w:tblCellMar>
        </w:tblPrEx>
        <w:trPr>
          <w:trHeight w:val="624" w:hRule="atLeast"/>
          <w:tblHeader/>
          <w:jc w:val="center"/>
        </w:trPr>
        <w:tc>
          <w:tcPr>
            <w:tcW w:w="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b/>
                <w:bCs/>
                <w:color w:val="000000"/>
                <w:kern w:val="0"/>
                <w:sz w:val="18"/>
                <w:szCs w:val="18"/>
              </w:rPr>
            </w:pPr>
            <w:r>
              <w:rPr>
                <w:rFonts w:eastAsia="宋体" w:cs="Times New Roman"/>
                <w:b/>
                <w:bCs/>
                <w:color w:val="000000"/>
                <w:kern w:val="0"/>
                <w:sz w:val="18"/>
                <w:szCs w:val="18"/>
              </w:rPr>
              <w:t>序号</w:t>
            </w:r>
          </w:p>
        </w:tc>
        <w:tc>
          <w:tcPr>
            <w:tcW w:w="1260"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b/>
                <w:bCs/>
                <w:color w:val="000000"/>
                <w:kern w:val="0"/>
                <w:sz w:val="18"/>
                <w:szCs w:val="18"/>
              </w:rPr>
            </w:pPr>
            <w:r>
              <w:rPr>
                <w:rFonts w:eastAsia="宋体" w:cs="Times New Roman"/>
                <w:b/>
                <w:bCs/>
                <w:color w:val="000000"/>
                <w:kern w:val="0"/>
                <w:sz w:val="18"/>
                <w:szCs w:val="18"/>
              </w:rPr>
              <w:t>主要项目</w:t>
            </w:r>
          </w:p>
        </w:tc>
        <w:tc>
          <w:tcPr>
            <w:tcW w:w="1455"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b/>
                <w:bCs/>
                <w:color w:val="000000"/>
                <w:kern w:val="0"/>
                <w:sz w:val="18"/>
                <w:szCs w:val="18"/>
              </w:rPr>
            </w:pPr>
            <w:r>
              <w:rPr>
                <w:rFonts w:eastAsia="宋体" w:cs="Times New Roman"/>
                <w:b/>
                <w:bCs/>
                <w:color w:val="000000"/>
                <w:kern w:val="0"/>
                <w:sz w:val="18"/>
                <w:szCs w:val="18"/>
              </w:rPr>
              <w:t>撰写内容</w:t>
            </w:r>
          </w:p>
        </w:tc>
        <w:tc>
          <w:tcPr>
            <w:tcW w:w="8550"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b/>
                <w:bCs/>
                <w:color w:val="000000"/>
                <w:kern w:val="0"/>
                <w:sz w:val="18"/>
                <w:szCs w:val="18"/>
              </w:rPr>
            </w:pPr>
            <w:r>
              <w:rPr>
                <w:rFonts w:eastAsia="宋体" w:cs="Times New Roman"/>
                <w:b/>
                <w:bCs/>
                <w:color w:val="000000"/>
                <w:kern w:val="0"/>
                <w:sz w:val="18"/>
                <w:szCs w:val="18"/>
              </w:rPr>
              <w:t>审查要点</w:t>
            </w:r>
          </w:p>
        </w:tc>
        <w:tc>
          <w:tcPr>
            <w:tcW w:w="867"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b/>
                <w:bCs/>
                <w:color w:val="000000"/>
                <w:kern w:val="0"/>
                <w:sz w:val="18"/>
                <w:szCs w:val="18"/>
              </w:rPr>
            </w:pPr>
            <w:r>
              <w:rPr>
                <w:rFonts w:eastAsia="宋体" w:cs="Times New Roman"/>
                <w:b/>
                <w:bCs/>
                <w:color w:val="000000"/>
                <w:kern w:val="0"/>
                <w:sz w:val="18"/>
                <w:szCs w:val="18"/>
              </w:rPr>
              <w:t>分值</w:t>
            </w:r>
          </w:p>
        </w:tc>
        <w:tc>
          <w:tcPr>
            <w:tcW w:w="1307"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b/>
                <w:bCs/>
                <w:color w:val="000000"/>
                <w:kern w:val="0"/>
                <w:sz w:val="18"/>
                <w:szCs w:val="18"/>
              </w:rPr>
            </w:pPr>
            <w:r>
              <w:rPr>
                <w:rFonts w:eastAsia="宋体" w:cs="Times New Roman"/>
                <w:b/>
                <w:bCs/>
                <w:color w:val="000000"/>
                <w:kern w:val="0"/>
                <w:sz w:val="18"/>
                <w:szCs w:val="18"/>
              </w:rPr>
              <w:t>打分</w:t>
            </w:r>
          </w:p>
        </w:tc>
      </w:tr>
      <w:tr>
        <w:tblPrEx>
          <w:tblCellMar>
            <w:top w:w="0" w:type="dxa"/>
            <w:left w:w="108" w:type="dxa"/>
            <w:bottom w:w="0" w:type="dxa"/>
            <w:right w:w="108" w:type="dxa"/>
          </w:tblCellMar>
        </w:tblPrEx>
        <w:trPr>
          <w:trHeight w:val="312" w:hRule="atLeast"/>
          <w:jc w:val="center"/>
        </w:trPr>
        <w:tc>
          <w:tcPr>
            <w:tcW w:w="525" w:type="dxa"/>
            <w:vMerge w:val="restart"/>
            <w:tcBorders>
              <w:top w:val="nil"/>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w:t>
            </w:r>
          </w:p>
        </w:tc>
        <w:tc>
          <w:tcPr>
            <w:tcW w:w="1260" w:type="dxa"/>
            <w:vMerge w:val="restart"/>
            <w:tcBorders>
              <w:top w:val="nil"/>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形式审查</w:t>
            </w:r>
          </w:p>
        </w:tc>
        <w:tc>
          <w:tcPr>
            <w:tcW w:w="1455" w:type="dxa"/>
            <w:vMerge w:val="restart"/>
            <w:tcBorders>
              <w:top w:val="nil"/>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　</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是否有地块调查市级生态环保主管部门备案意见</w:t>
            </w:r>
          </w:p>
        </w:tc>
        <w:tc>
          <w:tcPr>
            <w:tcW w:w="867"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形式审查一票否决，不设分值</w:t>
            </w:r>
          </w:p>
        </w:tc>
        <w:tc>
          <w:tcPr>
            <w:tcW w:w="1307"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25"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550" w:type="dxa"/>
            <w:tcBorders>
              <w:top w:val="nil"/>
              <w:left w:val="nil"/>
              <w:bottom w:val="single" w:color="auto" w:sz="4" w:space="0"/>
              <w:right w:val="single" w:color="auto" w:sz="4" w:space="0"/>
            </w:tcBorders>
            <w:shd w:val="clear" w:color="auto" w:fill="auto"/>
            <w:vAlign w:val="bottom"/>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送审报告是否加盖从业单位和土地使用权人（或土壤污染责任人）的公章</w:t>
            </w:r>
          </w:p>
        </w:tc>
        <w:tc>
          <w:tcPr>
            <w:tcW w:w="86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25"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550" w:type="dxa"/>
            <w:tcBorders>
              <w:top w:val="nil"/>
              <w:left w:val="nil"/>
              <w:bottom w:val="single" w:color="auto" w:sz="4" w:space="0"/>
              <w:right w:val="single" w:color="auto" w:sz="4" w:space="0"/>
            </w:tcBorders>
            <w:shd w:val="clear" w:color="auto" w:fill="auto"/>
            <w:vAlign w:val="bottom"/>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送审报告是否明确项目负责人和从业人员信息及亲笔签字</w:t>
            </w:r>
          </w:p>
        </w:tc>
        <w:tc>
          <w:tcPr>
            <w:tcW w:w="86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25"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vMerge w:val="continue"/>
            <w:tcBorders>
              <w:left w:val="single" w:color="auto" w:sz="4" w:space="0"/>
              <w:bottom w:val="single" w:color="000000"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550" w:type="dxa"/>
            <w:tcBorders>
              <w:top w:val="nil"/>
              <w:left w:val="nil"/>
              <w:bottom w:val="single" w:color="auto" w:sz="4" w:space="0"/>
              <w:right w:val="single" w:color="auto" w:sz="4" w:space="0"/>
            </w:tcBorders>
            <w:shd w:val="clear" w:color="auto" w:fill="auto"/>
            <w:vAlign w:val="bottom"/>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报告是否完整，包括</w:t>
            </w:r>
            <w:r>
              <w:rPr>
                <w:rFonts w:hint="eastAsia" w:eastAsia="宋体" w:cs="Times New Roman"/>
                <w:color w:val="000000"/>
                <w:kern w:val="0"/>
                <w:sz w:val="18"/>
                <w:szCs w:val="18"/>
              </w:rPr>
              <w:t>：</w:t>
            </w:r>
            <w:r>
              <w:rPr>
                <w:rFonts w:eastAsia="宋体" w:cs="Times New Roman"/>
                <w:color w:val="000000"/>
                <w:kern w:val="0"/>
                <w:sz w:val="18"/>
                <w:szCs w:val="18"/>
              </w:rPr>
              <w:t>摘要、正文和附件</w:t>
            </w:r>
          </w:p>
        </w:tc>
        <w:tc>
          <w:tcPr>
            <w:tcW w:w="867"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36" w:hRule="atLeast"/>
          <w:jc w:val="center"/>
        </w:trPr>
        <w:tc>
          <w:tcPr>
            <w:tcW w:w="5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2</w:t>
            </w:r>
          </w:p>
        </w:tc>
        <w:tc>
          <w:tcPr>
            <w:tcW w:w="126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危害识别</w:t>
            </w:r>
          </w:p>
        </w:tc>
        <w:tc>
          <w:tcPr>
            <w:tcW w:w="14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土地利用方式</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未来土地利用方式及敏感人群是否明确，如无明确规划应以最严格的方式进行风险评估</w:t>
            </w:r>
          </w:p>
        </w:tc>
        <w:tc>
          <w:tcPr>
            <w:tcW w:w="867"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10</w:t>
            </w:r>
          </w:p>
        </w:tc>
        <w:tc>
          <w:tcPr>
            <w:tcW w:w="1307"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2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关注污染物</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关注污染物的确定是否合理，有无遗漏</w:t>
            </w:r>
          </w:p>
        </w:tc>
        <w:tc>
          <w:tcPr>
            <w:tcW w:w="86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2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地块环境调查资料</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土壤污染状况调查的数据是否能够满足风险评估的要求</w:t>
            </w:r>
          </w:p>
        </w:tc>
        <w:tc>
          <w:tcPr>
            <w:tcW w:w="86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2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主要污染物状况、土壤及地下水的污染范围是否明确</w:t>
            </w:r>
          </w:p>
        </w:tc>
        <w:tc>
          <w:tcPr>
            <w:tcW w:w="86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2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地块土壤和地下水的监测数据是否进行统计分析</w:t>
            </w:r>
          </w:p>
        </w:tc>
        <w:tc>
          <w:tcPr>
            <w:tcW w:w="86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2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确定暴露点浓度的方式是否合理</w:t>
            </w:r>
          </w:p>
        </w:tc>
        <w:tc>
          <w:tcPr>
            <w:tcW w:w="86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36" w:hRule="atLeast"/>
          <w:jc w:val="center"/>
        </w:trPr>
        <w:tc>
          <w:tcPr>
            <w:tcW w:w="52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风险评估主要地块（土壤及地下水）的特征参数选择是否合理，是否明确出处来源</w:t>
            </w:r>
          </w:p>
        </w:tc>
        <w:tc>
          <w:tcPr>
            <w:tcW w:w="867"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36" w:hRule="atLeast"/>
          <w:jc w:val="center"/>
        </w:trPr>
        <w:tc>
          <w:tcPr>
            <w:tcW w:w="5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3</w:t>
            </w:r>
          </w:p>
        </w:tc>
        <w:tc>
          <w:tcPr>
            <w:tcW w:w="126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暴露评估</w:t>
            </w:r>
          </w:p>
        </w:tc>
        <w:tc>
          <w:tcPr>
            <w:tcW w:w="14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暴露情景及暴露途径</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是否根据资料和实地调查情况，并结合未来土地规划，确定暴露情景及暴露途径</w:t>
            </w:r>
          </w:p>
        </w:tc>
        <w:tc>
          <w:tcPr>
            <w:tcW w:w="867"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10</w:t>
            </w:r>
          </w:p>
        </w:tc>
        <w:tc>
          <w:tcPr>
            <w:tcW w:w="1307"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96" w:hRule="atLeast"/>
          <w:jc w:val="center"/>
        </w:trPr>
        <w:tc>
          <w:tcPr>
            <w:tcW w:w="52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暴露参数</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是否确定了风险评估所需的主要暴露参数，取值是否合理，是否标明了出处来源</w:t>
            </w:r>
          </w:p>
        </w:tc>
        <w:tc>
          <w:tcPr>
            <w:tcW w:w="867"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4</w:t>
            </w:r>
          </w:p>
        </w:tc>
        <w:tc>
          <w:tcPr>
            <w:tcW w:w="126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毒性评估</w:t>
            </w:r>
          </w:p>
        </w:tc>
        <w:tc>
          <w:tcPr>
            <w:tcW w:w="14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污染物毒性效应</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是否对关注污染物的非致癌毒性和致癌效应进行分析</w:t>
            </w:r>
          </w:p>
        </w:tc>
        <w:tc>
          <w:tcPr>
            <w:tcW w:w="867"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10</w:t>
            </w:r>
          </w:p>
        </w:tc>
        <w:tc>
          <w:tcPr>
            <w:tcW w:w="1307"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2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rPr>
                <w:rFonts w:eastAsia="宋体" w:cs="Times New Roman"/>
                <w:color w:val="000000"/>
                <w:kern w:val="0"/>
                <w:sz w:val="18"/>
                <w:szCs w:val="18"/>
              </w:rPr>
            </w:pPr>
            <w:r>
              <w:rPr>
                <w:rFonts w:eastAsia="宋体" w:cs="Times New Roman"/>
                <w:color w:val="000000"/>
                <w:kern w:val="0"/>
                <w:sz w:val="18"/>
                <w:szCs w:val="18"/>
              </w:rPr>
              <w:t>毒理学参数</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是否注明关注污染物毒性参数及来源</w:t>
            </w:r>
          </w:p>
        </w:tc>
        <w:tc>
          <w:tcPr>
            <w:tcW w:w="86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2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参数选取是否合理</w:t>
            </w:r>
          </w:p>
        </w:tc>
        <w:tc>
          <w:tcPr>
            <w:tcW w:w="867"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5</w:t>
            </w:r>
          </w:p>
        </w:tc>
        <w:tc>
          <w:tcPr>
            <w:tcW w:w="126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风险评估模型</w:t>
            </w:r>
          </w:p>
        </w:tc>
        <w:tc>
          <w:tcPr>
            <w:tcW w:w="14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模型选择</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评估模型工具或方法是否合适</w:t>
            </w:r>
          </w:p>
        </w:tc>
        <w:tc>
          <w:tcPr>
            <w:tcW w:w="867"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10</w:t>
            </w:r>
          </w:p>
        </w:tc>
        <w:tc>
          <w:tcPr>
            <w:tcW w:w="1307"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94" w:hRule="atLeast"/>
          <w:jc w:val="center"/>
        </w:trPr>
        <w:tc>
          <w:tcPr>
            <w:tcW w:w="52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铅（若有）</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评估模型及参数的选择是否合理</w:t>
            </w:r>
          </w:p>
        </w:tc>
        <w:tc>
          <w:tcPr>
            <w:tcW w:w="867"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6</w:t>
            </w:r>
          </w:p>
        </w:tc>
        <w:tc>
          <w:tcPr>
            <w:tcW w:w="126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风险表征</w:t>
            </w:r>
          </w:p>
        </w:tc>
        <w:tc>
          <w:tcPr>
            <w:tcW w:w="145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致癌/非致癌风险</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致癌风险可接受水平设置是否合理</w:t>
            </w:r>
          </w:p>
        </w:tc>
        <w:tc>
          <w:tcPr>
            <w:tcW w:w="867"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10</w:t>
            </w:r>
          </w:p>
        </w:tc>
        <w:tc>
          <w:tcPr>
            <w:tcW w:w="1307"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2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非致癌危害商设置是否合理</w:t>
            </w:r>
          </w:p>
        </w:tc>
        <w:tc>
          <w:tcPr>
            <w:tcW w:w="86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2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风险评估不确定性分析</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暴露风险贡献率分析是否合理</w:t>
            </w:r>
          </w:p>
        </w:tc>
        <w:tc>
          <w:tcPr>
            <w:tcW w:w="86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2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其他不确定性因素分析是否合理</w:t>
            </w:r>
          </w:p>
        </w:tc>
        <w:tc>
          <w:tcPr>
            <w:tcW w:w="867"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67" w:hRule="atLeast"/>
          <w:jc w:val="center"/>
        </w:trPr>
        <w:tc>
          <w:tcPr>
            <w:tcW w:w="525" w:type="dxa"/>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7</w:t>
            </w:r>
          </w:p>
        </w:tc>
        <w:tc>
          <w:tcPr>
            <w:tcW w:w="126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风险控制值</w:t>
            </w:r>
          </w:p>
        </w:tc>
        <w:tc>
          <w:tcPr>
            <w:tcW w:w="14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　</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风险控制值的确定是否合理</w:t>
            </w: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10</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26" w:hRule="atLeast"/>
          <w:jc w:val="center"/>
        </w:trPr>
        <w:tc>
          <w:tcPr>
            <w:tcW w:w="5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8</w:t>
            </w:r>
          </w:p>
        </w:tc>
        <w:tc>
          <w:tcPr>
            <w:tcW w:w="126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修复目标与修复范围</w:t>
            </w:r>
          </w:p>
        </w:tc>
        <w:tc>
          <w:tcPr>
            <w:tcW w:w="14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修复目标值</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土壤和地下水的修复目标值是否合理，是否对修复目标的确定进行了说明</w:t>
            </w:r>
          </w:p>
        </w:tc>
        <w:tc>
          <w:tcPr>
            <w:tcW w:w="867"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20</w:t>
            </w:r>
          </w:p>
        </w:tc>
        <w:tc>
          <w:tcPr>
            <w:tcW w:w="1307"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60" w:hRule="atLeast"/>
          <w:jc w:val="center"/>
        </w:trPr>
        <w:tc>
          <w:tcPr>
            <w:tcW w:w="52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修复范围</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土壤的修复范围的确定是否合理，是否根据不同污染深度分别划定，并确定拐点坐标、估算修复方量，并提供修复范围分层图和总图</w:t>
            </w:r>
          </w:p>
        </w:tc>
        <w:tc>
          <w:tcPr>
            <w:tcW w:w="86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2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地下水修复范围应估算方量并提供污染范围图</w:t>
            </w:r>
          </w:p>
        </w:tc>
        <w:tc>
          <w:tcPr>
            <w:tcW w:w="867"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958" w:hRule="atLeast"/>
          <w:jc w:val="center"/>
        </w:trPr>
        <w:tc>
          <w:tcPr>
            <w:tcW w:w="525" w:type="dxa"/>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9</w:t>
            </w:r>
          </w:p>
        </w:tc>
        <w:tc>
          <w:tcPr>
            <w:tcW w:w="126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bookmarkStart w:id="266" w:name="RANGE!B27"/>
            <w:r>
              <w:rPr>
                <w:rFonts w:eastAsia="宋体" w:cs="Times New Roman"/>
                <w:color w:val="000000"/>
                <w:kern w:val="0"/>
                <w:sz w:val="18"/>
                <w:szCs w:val="18"/>
              </w:rPr>
              <w:t>修复技术筛选及修复/管控建议</w:t>
            </w:r>
            <w:bookmarkEnd w:id="266"/>
          </w:p>
        </w:tc>
        <w:tc>
          <w:tcPr>
            <w:tcW w:w="14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　</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修复/管控策略或环境管理建议是否合理</w:t>
            </w:r>
          </w:p>
        </w:tc>
        <w:tc>
          <w:tcPr>
            <w:tcW w:w="867"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10</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5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10</w:t>
            </w:r>
          </w:p>
        </w:tc>
        <w:tc>
          <w:tcPr>
            <w:tcW w:w="126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结论与建议</w:t>
            </w:r>
          </w:p>
        </w:tc>
        <w:tc>
          <w:tcPr>
            <w:tcW w:w="14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结论</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风险评估报告要点、结论及不确定性分析的是否准确、清晰</w:t>
            </w:r>
          </w:p>
        </w:tc>
        <w:tc>
          <w:tcPr>
            <w:tcW w:w="867"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10</w:t>
            </w:r>
          </w:p>
        </w:tc>
        <w:tc>
          <w:tcPr>
            <w:tcW w:w="1307"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52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6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45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建议</w:t>
            </w:r>
          </w:p>
        </w:tc>
        <w:tc>
          <w:tcPr>
            <w:tcW w:w="855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是否具有针对性、科学性、合理性</w:t>
            </w:r>
          </w:p>
        </w:tc>
        <w:tc>
          <w:tcPr>
            <w:tcW w:w="867"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307"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bl>
    <w:p>
      <w:pPr>
        <w:adjustRightInd w:val="0"/>
        <w:spacing w:line="360" w:lineRule="exact"/>
        <w:ind w:firstLine="360"/>
        <w:rPr>
          <w:rFonts w:eastAsia="宋体" w:cs="Times New Roman"/>
          <w:sz w:val="18"/>
          <w:szCs w:val="18"/>
        </w:rPr>
      </w:pPr>
      <w:r>
        <w:rPr>
          <w:rFonts w:eastAsia="宋体" w:cs="Times New Roman"/>
          <w:sz w:val="18"/>
          <w:szCs w:val="18"/>
        </w:rPr>
        <w:t>备注：1.表格中分值为单件评价量化分值。</w:t>
      </w:r>
    </w:p>
    <w:p>
      <w:pPr>
        <w:adjustRightInd w:val="0"/>
        <w:spacing w:line="360" w:lineRule="exact"/>
        <w:ind w:firstLine="900" w:firstLineChars="500"/>
        <w:rPr>
          <w:rFonts w:eastAsia="宋体" w:cs="Times New Roman"/>
          <w:sz w:val="18"/>
          <w:szCs w:val="18"/>
        </w:rPr>
      </w:pPr>
      <w:r>
        <w:rPr>
          <w:rFonts w:eastAsia="宋体" w:cs="Times New Roman"/>
          <w:sz w:val="18"/>
          <w:szCs w:val="18"/>
        </w:rPr>
        <w:t>2.形式审查由评审组织单位审核，形式审查不通过则不予评审。</w:t>
      </w:r>
    </w:p>
    <w:p>
      <w:pPr>
        <w:adjustRightInd w:val="0"/>
        <w:spacing w:line="360" w:lineRule="exact"/>
        <w:ind w:firstLine="900" w:firstLineChars="500"/>
        <w:rPr>
          <w:rFonts w:eastAsia="宋体" w:cs="Times New Roman"/>
          <w:sz w:val="18"/>
          <w:szCs w:val="18"/>
        </w:rPr>
      </w:pPr>
      <w:r>
        <w:rPr>
          <w:rFonts w:eastAsia="宋体" w:cs="Times New Roman"/>
          <w:sz w:val="18"/>
          <w:szCs w:val="18"/>
        </w:rPr>
        <w:t>3.评分为90分（含）以上的，技术文件直接评审通过；评分为60分（含）至90分的，技术文件评审通过但需修改；评分为60分以下的，技术文件不予评审通过。</w:t>
      </w:r>
    </w:p>
    <w:p>
      <w:pPr>
        <w:adjustRightInd w:val="0"/>
        <w:spacing w:line="360" w:lineRule="exact"/>
        <w:ind w:firstLine="0" w:firstLineChars="0"/>
        <w:jc w:val="left"/>
        <w:rPr>
          <w:rFonts w:eastAsia="宋体" w:cs="Times New Roman"/>
          <w:color w:val="000000"/>
          <w:sz w:val="24"/>
          <w:szCs w:val="24"/>
        </w:rPr>
      </w:pPr>
    </w:p>
    <w:p>
      <w:pPr>
        <w:adjustRightInd w:val="0"/>
        <w:spacing w:line="360" w:lineRule="exact"/>
        <w:ind w:firstLine="170" w:firstLineChars="71"/>
        <w:jc w:val="left"/>
        <w:rPr>
          <w:rFonts w:eastAsia="宋体" w:cs="Times New Roman"/>
          <w:color w:val="000000"/>
          <w:sz w:val="24"/>
          <w:szCs w:val="24"/>
        </w:rPr>
      </w:pPr>
    </w:p>
    <w:p>
      <w:pPr>
        <w:adjustRightInd w:val="0"/>
        <w:spacing w:line="360" w:lineRule="exact"/>
        <w:ind w:firstLine="170" w:firstLineChars="71"/>
        <w:jc w:val="left"/>
        <w:rPr>
          <w:rFonts w:eastAsia="宋体" w:cs="Times New Roman"/>
          <w:color w:val="000000"/>
          <w:sz w:val="24"/>
          <w:szCs w:val="24"/>
        </w:rPr>
        <w:sectPr>
          <w:pgSz w:w="16838" w:h="11906" w:orient="landscape"/>
          <w:pgMar w:top="1797" w:right="1440" w:bottom="1797" w:left="1440" w:header="851" w:footer="992" w:gutter="0"/>
          <w:cols w:space="425" w:num="1"/>
          <w:docGrid w:type="lines" w:linePitch="435" w:charSpace="0"/>
        </w:sectPr>
      </w:pPr>
    </w:p>
    <w:p>
      <w:pPr>
        <w:pStyle w:val="3"/>
        <w:adjustRightInd w:val="0"/>
        <w:spacing w:before="120" w:after="120" w:line="360" w:lineRule="exact"/>
        <w:rPr>
          <w:rFonts w:cs="Times New Roman"/>
        </w:rPr>
      </w:pPr>
      <w:bookmarkStart w:id="267" w:name="_Toc23189"/>
      <w:bookmarkStart w:id="268" w:name="_Toc30205"/>
      <w:r>
        <w:rPr>
          <w:rFonts w:cs="Times New Roman"/>
        </w:rPr>
        <w:t xml:space="preserve">附表3 </w:t>
      </w:r>
      <w:bookmarkStart w:id="269" w:name="_Hlk35866197"/>
      <w:r>
        <w:rPr>
          <w:rFonts w:cs="Times New Roman"/>
        </w:rPr>
        <w:t>建设用地土壤污染修复（含风险管控）效果评估报告审查</w:t>
      </w:r>
      <w:bookmarkEnd w:id="267"/>
      <w:r>
        <w:rPr>
          <w:rFonts w:hint="eastAsia" w:cs="Times New Roman"/>
        </w:rPr>
        <w:t>评价表</w:t>
      </w:r>
      <w:bookmarkEnd w:id="268"/>
    </w:p>
    <w:bookmarkEnd w:id="269"/>
    <w:p>
      <w:pPr>
        <w:pStyle w:val="62"/>
        <w:tabs>
          <w:tab w:val="center" w:pos="4201"/>
          <w:tab w:val="right" w:leader="dot" w:pos="9298"/>
        </w:tabs>
        <w:spacing w:line="360" w:lineRule="exact"/>
        <w:rPr>
          <w:rStyle w:val="63"/>
          <w:rFonts w:ascii="Times New Roman"/>
        </w:rPr>
      </w:pPr>
      <w:bookmarkStart w:id="270" w:name="_Toc24801_WPSOffice_Level1"/>
      <w:r>
        <w:rPr>
          <w:rStyle w:val="63"/>
          <w:rFonts w:ascii="Times New Roman"/>
        </w:rPr>
        <w:t>报告审查包括但不限于以下内容：</w:t>
      </w:r>
      <w:bookmarkEnd w:id="270"/>
    </w:p>
    <w:p>
      <w:pPr>
        <w:pStyle w:val="62"/>
        <w:tabs>
          <w:tab w:val="center" w:pos="4201"/>
          <w:tab w:val="right" w:leader="dot" w:pos="9298"/>
        </w:tabs>
        <w:spacing w:line="360" w:lineRule="exact"/>
        <w:rPr>
          <w:rFonts w:ascii="Times New Roman" w:eastAsia="黑体"/>
          <w:color w:val="000000"/>
          <w:sz w:val="24"/>
          <w:szCs w:val="24"/>
        </w:rPr>
      </w:pPr>
      <w:r>
        <w:rPr>
          <w:rStyle w:val="63"/>
          <w:rFonts w:ascii="Times New Roman"/>
        </w:rPr>
        <w:t>项目名称：</w:t>
      </w:r>
      <w:r>
        <w:rPr>
          <w:rStyle w:val="63"/>
          <w:rFonts w:ascii="Times New Roman"/>
          <w:u w:val="single"/>
        </w:rPr>
        <w:t xml:space="preserve">                    </w:t>
      </w:r>
      <w:r>
        <w:rPr>
          <w:rStyle w:val="63"/>
          <w:rFonts w:ascii="Times New Roman"/>
        </w:rPr>
        <w:t xml:space="preserve">             评审专家：</w:t>
      </w:r>
      <w:r>
        <w:rPr>
          <w:rStyle w:val="63"/>
          <w:rFonts w:ascii="Times New Roman"/>
          <w:u w:val="single"/>
        </w:rPr>
        <w:t xml:space="preserve">              </w:t>
      </w:r>
      <w:r>
        <w:rPr>
          <w:rStyle w:val="63"/>
          <w:rFonts w:ascii="Times New Roman"/>
        </w:rPr>
        <w:t xml:space="preserve">              评审时间：</w:t>
      </w:r>
      <w:r>
        <w:rPr>
          <w:rStyle w:val="63"/>
          <w:rFonts w:ascii="Times New Roman"/>
          <w:u w:val="single"/>
        </w:rPr>
        <w:t xml:space="preserve">                 </w:t>
      </w:r>
      <w:r>
        <w:rPr>
          <w:rFonts w:ascii="Times New Roman"/>
          <w:color w:val="000000"/>
          <w:sz w:val="24"/>
          <w:szCs w:val="24"/>
        </w:rPr>
        <w:t xml:space="preserve"> </w:t>
      </w:r>
    </w:p>
    <w:tbl>
      <w:tblPr>
        <w:tblStyle w:val="18"/>
        <w:tblW w:w="14012" w:type="dxa"/>
        <w:jc w:val="center"/>
        <w:tblLayout w:type="fixed"/>
        <w:tblCellMar>
          <w:top w:w="0" w:type="dxa"/>
          <w:left w:w="108" w:type="dxa"/>
          <w:bottom w:w="0" w:type="dxa"/>
          <w:right w:w="108" w:type="dxa"/>
        </w:tblCellMar>
      </w:tblPr>
      <w:tblGrid>
        <w:gridCol w:w="429"/>
        <w:gridCol w:w="1200"/>
        <w:gridCol w:w="930"/>
        <w:gridCol w:w="1215"/>
        <w:gridCol w:w="8220"/>
        <w:gridCol w:w="795"/>
        <w:gridCol w:w="1223"/>
      </w:tblGrid>
      <w:tr>
        <w:tblPrEx>
          <w:tblCellMar>
            <w:top w:w="0" w:type="dxa"/>
            <w:left w:w="108" w:type="dxa"/>
            <w:bottom w:w="0" w:type="dxa"/>
            <w:right w:w="108" w:type="dxa"/>
          </w:tblCellMar>
        </w:tblPrEx>
        <w:trPr>
          <w:trHeight w:val="624" w:hRule="atLeast"/>
          <w:tblHeader/>
          <w:jc w:val="center"/>
        </w:trPr>
        <w:tc>
          <w:tcPr>
            <w:tcW w:w="4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b/>
                <w:bCs/>
                <w:color w:val="000000"/>
                <w:kern w:val="0"/>
                <w:sz w:val="18"/>
                <w:szCs w:val="18"/>
              </w:rPr>
            </w:pPr>
            <w:r>
              <w:rPr>
                <w:rFonts w:eastAsia="宋体" w:cs="Times New Roman"/>
                <w:b/>
                <w:bCs/>
                <w:color w:val="000000"/>
                <w:kern w:val="0"/>
                <w:sz w:val="18"/>
                <w:szCs w:val="18"/>
              </w:rPr>
              <w:t>序号</w:t>
            </w:r>
          </w:p>
        </w:tc>
        <w:tc>
          <w:tcPr>
            <w:tcW w:w="1200"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b/>
                <w:bCs/>
                <w:color w:val="000000"/>
                <w:kern w:val="0"/>
                <w:sz w:val="18"/>
                <w:szCs w:val="18"/>
              </w:rPr>
            </w:pPr>
            <w:r>
              <w:rPr>
                <w:rFonts w:eastAsia="宋体" w:cs="Times New Roman"/>
                <w:b/>
                <w:bCs/>
                <w:color w:val="000000"/>
                <w:kern w:val="0"/>
                <w:sz w:val="18"/>
                <w:szCs w:val="18"/>
              </w:rPr>
              <w:t>主要项目</w:t>
            </w:r>
          </w:p>
        </w:tc>
        <w:tc>
          <w:tcPr>
            <w:tcW w:w="2145"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b/>
                <w:bCs/>
                <w:color w:val="000000"/>
                <w:kern w:val="0"/>
                <w:sz w:val="18"/>
                <w:szCs w:val="18"/>
              </w:rPr>
            </w:pPr>
            <w:r>
              <w:rPr>
                <w:rFonts w:eastAsia="宋体" w:cs="Times New Roman"/>
                <w:b/>
                <w:bCs/>
                <w:color w:val="000000"/>
                <w:kern w:val="0"/>
                <w:sz w:val="18"/>
                <w:szCs w:val="18"/>
              </w:rPr>
              <w:t>撰写内容</w:t>
            </w:r>
          </w:p>
        </w:tc>
        <w:tc>
          <w:tcPr>
            <w:tcW w:w="8220"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b/>
                <w:bCs/>
                <w:color w:val="000000"/>
                <w:kern w:val="0"/>
                <w:sz w:val="18"/>
                <w:szCs w:val="18"/>
              </w:rPr>
            </w:pPr>
            <w:r>
              <w:rPr>
                <w:rFonts w:eastAsia="宋体" w:cs="Times New Roman"/>
                <w:b/>
                <w:bCs/>
                <w:color w:val="000000"/>
                <w:kern w:val="0"/>
                <w:sz w:val="18"/>
                <w:szCs w:val="18"/>
              </w:rPr>
              <w:t>审查要点</w:t>
            </w:r>
          </w:p>
        </w:tc>
        <w:tc>
          <w:tcPr>
            <w:tcW w:w="795"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b/>
                <w:bCs/>
                <w:color w:val="000000"/>
                <w:kern w:val="0"/>
                <w:sz w:val="18"/>
                <w:szCs w:val="18"/>
              </w:rPr>
            </w:pPr>
            <w:r>
              <w:rPr>
                <w:rFonts w:eastAsia="宋体" w:cs="Times New Roman"/>
                <w:b/>
                <w:bCs/>
                <w:color w:val="000000"/>
                <w:kern w:val="0"/>
                <w:sz w:val="18"/>
                <w:szCs w:val="18"/>
              </w:rPr>
              <w:t>分值</w:t>
            </w:r>
          </w:p>
        </w:tc>
        <w:tc>
          <w:tcPr>
            <w:tcW w:w="1223" w:type="dxa"/>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b/>
                <w:bCs/>
                <w:color w:val="000000"/>
                <w:kern w:val="0"/>
                <w:sz w:val="18"/>
                <w:szCs w:val="18"/>
              </w:rPr>
            </w:pPr>
            <w:r>
              <w:rPr>
                <w:rFonts w:eastAsia="宋体" w:cs="Times New Roman"/>
                <w:b/>
                <w:bCs/>
                <w:color w:val="000000"/>
                <w:kern w:val="0"/>
                <w:sz w:val="18"/>
                <w:szCs w:val="18"/>
              </w:rPr>
              <w:t>打分</w:t>
            </w:r>
          </w:p>
        </w:tc>
      </w:tr>
      <w:tr>
        <w:tblPrEx>
          <w:tblCellMar>
            <w:top w:w="0" w:type="dxa"/>
            <w:left w:w="108" w:type="dxa"/>
            <w:bottom w:w="0" w:type="dxa"/>
            <w:right w:w="108" w:type="dxa"/>
          </w:tblCellMar>
        </w:tblPrEx>
        <w:trPr>
          <w:trHeight w:val="312" w:hRule="atLeast"/>
          <w:jc w:val="center"/>
        </w:trPr>
        <w:tc>
          <w:tcPr>
            <w:tcW w:w="429" w:type="dxa"/>
            <w:vMerge w:val="restart"/>
            <w:tcBorders>
              <w:top w:val="nil"/>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w:t>
            </w:r>
          </w:p>
        </w:tc>
        <w:tc>
          <w:tcPr>
            <w:tcW w:w="1200" w:type="dxa"/>
            <w:vMerge w:val="restart"/>
            <w:tcBorders>
              <w:top w:val="nil"/>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形式审查</w:t>
            </w:r>
          </w:p>
        </w:tc>
        <w:tc>
          <w:tcPr>
            <w:tcW w:w="2145" w:type="dxa"/>
            <w:gridSpan w:val="2"/>
            <w:vMerge w:val="restart"/>
            <w:tcBorders>
              <w:top w:val="single" w:color="auto" w:sz="4" w:space="0"/>
              <w:left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　</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送审报告是否加盖从业单位和土地使用权人（或土壤污染责任人）的公章</w:t>
            </w:r>
          </w:p>
        </w:tc>
        <w:tc>
          <w:tcPr>
            <w:tcW w:w="795"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形式审查一票否决，不设分值</w:t>
            </w:r>
          </w:p>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送审报告是否明确项目负责人和从业人员信息及亲笔签字</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检测实验室是否具有土壤和水质检测项目国家资质委员会认可的资质</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sz w:val="18"/>
                <w:szCs w:val="18"/>
              </w:rPr>
              <w:t>是否提交国家资质委员会认可的实验室检测报告</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修复（风险管控方案）</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left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施工方案</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方案是否完整，包括</w:t>
            </w:r>
            <w:r>
              <w:rPr>
                <w:rFonts w:hint="eastAsia" w:eastAsia="宋体" w:cs="Times New Roman"/>
                <w:color w:val="000000"/>
                <w:kern w:val="0"/>
                <w:sz w:val="18"/>
                <w:szCs w:val="18"/>
              </w:rPr>
              <w:t>：</w:t>
            </w:r>
            <w:r>
              <w:rPr>
                <w:rFonts w:eastAsia="宋体" w:cs="Times New Roman"/>
                <w:color w:val="000000"/>
                <w:kern w:val="0"/>
                <w:sz w:val="18"/>
                <w:szCs w:val="18"/>
              </w:rPr>
              <w:t>摘要，正文和附件</w:t>
            </w:r>
          </w:p>
        </w:tc>
        <w:tc>
          <w:tcPr>
            <w:tcW w:w="795"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2</w:t>
            </w:r>
          </w:p>
        </w:tc>
        <w:tc>
          <w:tcPr>
            <w:tcW w:w="120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地块及工程基本情况</w:t>
            </w:r>
          </w:p>
        </w:tc>
        <w:tc>
          <w:tcPr>
            <w:tcW w:w="21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地块基本情况</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是否包括了地块位置及现状等基本信息</w:t>
            </w:r>
          </w:p>
        </w:tc>
        <w:tc>
          <w:tcPr>
            <w:tcW w:w="795"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15</w:t>
            </w:r>
          </w:p>
        </w:tc>
        <w:tc>
          <w:tcPr>
            <w:tcW w:w="1223"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是否包括了地块土地利用及地下水利用规划情况</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是否包括了周边敏感点情况</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是否包括了地块水文地质条件</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是否包括了区域气候气象条件</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地块污染与风险状况</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是否包括了地块土壤和地下水中的主要污染物、污染范围和深度等有关内容</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是否包括了地块风险状况等相关内容</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风险管控与修复方案情况</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是否包括了修复与管控目标</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是否包括了修复与管控范围及其拐点坐标</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是否包括了修复工程量</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是否包括管控措施与修复方案</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是否包括了环境保护措施、环境监测计划及要求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是否包括了效果评估方案及要求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是否包括了风险防范及应急措施等内容和要求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风险管控或修复实施情况</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是否包括工程基本情况</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是否包括了总平面布置图</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工程实施范围</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风险管控与修复工程技术路线</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948"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工程实施内容（包括采用的修复与管控技术与工艺，工程实施过程，修复后土壤的处置，质量控制，二次污染及风险防控措施，自验收监测结果，修复周期等内容，并提供相应的工作照片或证明文件）</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36"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异位修复工程各施工环节的工程量统计（污染土壤清挖、运输、处置及修复后土壤再利用等环节，应达到土方平衡）</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36"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修复过程有变更时，是否提供了变更说明或修复调整方案，变更的理由是否充分，是否得到了监理的认可</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环境保护措施落实情况</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修复过程环境保护措施内容及效果</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风险防范措施内容及效果</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环境污染监测内容及监测结果的分析与评价</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对实施过程中发生的环境问题所采取的措施及有效性</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修复施工期间，是否设立公告牌，公开相关情况和环境保护措施</w:t>
            </w:r>
          </w:p>
        </w:tc>
        <w:tc>
          <w:tcPr>
            <w:tcW w:w="795"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3</w:t>
            </w:r>
          </w:p>
        </w:tc>
        <w:tc>
          <w:tcPr>
            <w:tcW w:w="120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更新地块概念模型</w:t>
            </w:r>
          </w:p>
        </w:tc>
        <w:tc>
          <w:tcPr>
            <w:tcW w:w="21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资料回顾</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资料是否齐全</w:t>
            </w:r>
          </w:p>
        </w:tc>
        <w:tc>
          <w:tcPr>
            <w:tcW w:w="795"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15</w:t>
            </w:r>
          </w:p>
        </w:tc>
        <w:tc>
          <w:tcPr>
            <w:tcW w:w="1223"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相关资料是否已通过专家评审并在环境部门进行了备案</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现场踏勘</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是否按照导则HJ 25.1要求的程序和技术要求进行踏勘</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948"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踏勘内容是否包括了污染地块风险管控与修复工程的实施情况、现场遗留污染情况、风险管控期间地块及周边敏感区域限制、环境保护措施落实情况等内容</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踏勘过程是否保留了照片、视频、录音、文字等</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人员访谈</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是否进行了人员访谈</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访谈内容是否包括污染地块风险管控与修复工程实施情况、环境保护措施落实情况等内容</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地块概念模型</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是否结合工程实施后的地块特征，对地块的概念模型进行了更新</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地块概念模型内容的完整性</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更新后的地块概念模型是否可作为地块修复效果评估的依据</w:t>
            </w:r>
          </w:p>
        </w:tc>
        <w:tc>
          <w:tcPr>
            <w:tcW w:w="795"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4</w:t>
            </w:r>
          </w:p>
        </w:tc>
        <w:tc>
          <w:tcPr>
            <w:tcW w:w="120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布点采样与实验室检测</w:t>
            </w:r>
          </w:p>
        </w:tc>
        <w:tc>
          <w:tcPr>
            <w:tcW w:w="93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土壤修复效果评估采样布点</w:t>
            </w:r>
          </w:p>
        </w:tc>
        <w:tc>
          <w:tcPr>
            <w:tcW w:w="121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基坑清挖效果评估</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清挖范围与深度与已备案的风险管控和修复方案是否一致</w:t>
            </w:r>
          </w:p>
        </w:tc>
        <w:tc>
          <w:tcPr>
            <w:tcW w:w="795"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25</w:t>
            </w:r>
          </w:p>
        </w:tc>
        <w:tc>
          <w:tcPr>
            <w:tcW w:w="1223"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是否包含了所有清挖基坑的底部与侧壁</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采样节点设置是否合理</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布点数量与位置是否符合要求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基坑深度大于1米，是否进行了分层采样，间距是否符合要求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异位修复效果评估</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是否包括了所有异位修复后的土壤</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采样节点设置是否合理</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布点数量与位置是否符合要求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筛上物布点数量是否合理</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原位修复效果评估</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是否涵盖修复方案中划定的全部土壤</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在高浓度污染物聚集区、修复薄弱区、修复范围边界处是否布设了采样点</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采样节点设置是否合理</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布点数量与位置是否符合要求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采样终点深度是否符合要求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污染深度较深时，是否进行了分层采样，采样间距是否符合要求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746"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风险管控效果评估</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采样节点设置是否合理</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二次污染区域</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是否包括了所有潜在的土壤二次污染区</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采样节点设置是否合理</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布点数量与位置是否符合要求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超标污染区域，采样深度及分层采样是否符合要求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地下水修复效果评估采样布点</w:t>
            </w:r>
          </w:p>
        </w:tc>
        <w:tc>
          <w:tcPr>
            <w:tcW w:w="121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原位修复</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采样数量与位置是否符合要求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采样时地下水修复活动是否已终止，并处于稳定阶段</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采样频率和采样持续时间是否合理</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36"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异位修复</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对于地下水抽提范围内，采样数量、位置、节点、频率等是否符合要求（同地下水原位修复）</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36"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对于抽提后修复完毕的地下水，采样单元、采样数量是否符合要求（针对挥发性有机物污染地下水不宜采用混合样）</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风险管控效果评估采样布点</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采样周期和频次是否满足导则要求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布点数量与位置是否符合要求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样品采集与分析</w:t>
            </w:r>
          </w:p>
        </w:tc>
        <w:tc>
          <w:tcPr>
            <w:tcW w:w="121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样品的采集、流转与保存</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样品的采集、保存、流转方法是否符合要求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土壤VOC样品取样深度是否符合要求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36"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样品分析</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清挖基坑、原位修复、修复后土壤原地利用的，其土壤检测指标是否包含了修复方案中的所有目标污染物</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相邻基坑土壤的检测指标是否涵盖了相邻基坑土壤中的目标污染物</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修复后土壤异地利用的，检测指标是否考虑了接受地的环境要求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48"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化学氧化/还原、微生物修复后的土壤检测指标是否包括二次污染物、中间产物等</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风险管控效果评估是否包括了污染物指标和工程性能指标</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样品的分析方法及其方法检出限是否符合要求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质量质控与治理保证</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样品采集、保存、流转的QA/QC是否符合要求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15"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样品检测实验室资质、样品检测方法及其过程的QA/QC是否符合要求</w:t>
            </w:r>
          </w:p>
        </w:tc>
        <w:tc>
          <w:tcPr>
            <w:tcW w:w="795"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36" w:hRule="atLeast"/>
          <w:jc w:val="center"/>
        </w:trPr>
        <w:tc>
          <w:tcPr>
            <w:tcW w:w="42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5</w:t>
            </w:r>
          </w:p>
        </w:tc>
        <w:tc>
          <w:tcPr>
            <w:tcW w:w="120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风险管控与土壤修复效果评估</w:t>
            </w:r>
          </w:p>
        </w:tc>
        <w:tc>
          <w:tcPr>
            <w:tcW w:w="21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土壤修复效果评估</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基坑土壤、原位处置土壤、原地回填的修复后土壤评估标准值与地块调查评估、修复技术方案或实施方案中确定的修复目标值一致</w:t>
            </w:r>
          </w:p>
        </w:tc>
        <w:tc>
          <w:tcPr>
            <w:tcW w:w="795"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15</w:t>
            </w:r>
          </w:p>
        </w:tc>
        <w:tc>
          <w:tcPr>
            <w:tcW w:w="1223"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48"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修复后异地利用的土壤、采用化学氧化/还原和微生物修复后土壤是否重新制定了污染物的评估标准，标准是否合理</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评估方法是否符合要求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是否达到了修复效果</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风险管控效果评估</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风险管控评估指标是否包含了工程性能和污染物的相关标准</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评估方法是否符合要求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工程指标是否满足了设计要求或不影响预期效果</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风险管控措施下游地下水中污染物浓度是否持续下降</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48"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固化/稳定化后土壤中污染物的浸出浓度是否满足接受地地下水用途对应标准或不会对地下水造成危害</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36"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当工程性能指标或污染物指标未达到评估标准时，是否对风险管控措施采取了优化或修理</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优化或修理后的风险管控措施是否满足要求</w:t>
            </w:r>
          </w:p>
        </w:tc>
        <w:tc>
          <w:tcPr>
            <w:tcW w:w="795"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6</w:t>
            </w:r>
          </w:p>
        </w:tc>
        <w:tc>
          <w:tcPr>
            <w:tcW w:w="120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后期环境管理建议</w:t>
            </w:r>
          </w:p>
        </w:tc>
        <w:tc>
          <w:tcPr>
            <w:tcW w:w="21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后期环境监管要求</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是否明确提出了地块是否需要进行后期监管</w:t>
            </w:r>
          </w:p>
        </w:tc>
        <w:tc>
          <w:tcPr>
            <w:tcW w:w="795"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10</w:t>
            </w:r>
          </w:p>
        </w:tc>
        <w:tc>
          <w:tcPr>
            <w:tcW w:w="1223"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监管主体是否明确</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监管标准是否符合要求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长期环境监测</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对需要实施风险管控的地块，是否制定了详细的长期环境监测方案</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监测介质是否合理</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48"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采样点布设、监测指标、样品的采集与分析方法、QA/QC、监测节点与频次等是否符合要求</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长期监测的终止条件是否明确、合理</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制度控制</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对需要进行制度控制的地块，是否制定了详细的制度控制方案</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制度控制方案是否合理可行</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制度控制的终止条件是否明确、合理</w:t>
            </w:r>
          </w:p>
        </w:tc>
        <w:tc>
          <w:tcPr>
            <w:tcW w:w="795"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636" w:hRule="atLeast"/>
          <w:jc w:val="center"/>
        </w:trPr>
        <w:tc>
          <w:tcPr>
            <w:tcW w:w="42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7</w:t>
            </w:r>
          </w:p>
        </w:tc>
        <w:tc>
          <w:tcPr>
            <w:tcW w:w="120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结论与建议</w:t>
            </w:r>
          </w:p>
        </w:tc>
        <w:tc>
          <w:tcPr>
            <w:tcW w:w="21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　</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是否涵盖风险管控或修复工程实施情况、环境保护措施落实情况、风险控制或修复效果评估情况方面的结论</w:t>
            </w:r>
          </w:p>
        </w:tc>
        <w:tc>
          <w:tcPr>
            <w:tcW w:w="795"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10</w:t>
            </w:r>
          </w:p>
        </w:tc>
        <w:tc>
          <w:tcPr>
            <w:tcW w:w="1223"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是否明确提出了地块可以安全利用的结论</w:t>
            </w:r>
          </w:p>
        </w:tc>
        <w:tc>
          <w:tcPr>
            <w:tcW w:w="795"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8</w:t>
            </w:r>
          </w:p>
        </w:tc>
        <w:tc>
          <w:tcPr>
            <w:tcW w:w="120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附件</w:t>
            </w:r>
          </w:p>
        </w:tc>
        <w:tc>
          <w:tcPr>
            <w:tcW w:w="2145"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　</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工程竣工报告</w:t>
            </w:r>
          </w:p>
        </w:tc>
        <w:tc>
          <w:tcPr>
            <w:tcW w:w="795"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r>
              <w:rPr>
                <w:rFonts w:eastAsia="宋体" w:cs="Times New Roman"/>
                <w:color w:val="000000"/>
                <w:kern w:val="0"/>
                <w:sz w:val="18"/>
                <w:szCs w:val="18"/>
              </w:rPr>
              <w:t>10</w:t>
            </w:r>
          </w:p>
        </w:tc>
        <w:tc>
          <w:tcPr>
            <w:tcW w:w="1223" w:type="dxa"/>
            <w:vMerge w:val="restart"/>
            <w:tcBorders>
              <w:top w:val="nil"/>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　</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环境监理总结报告</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12"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　</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效果评估监测报告</w:t>
            </w:r>
          </w:p>
        </w:tc>
        <w:tc>
          <w:tcPr>
            <w:tcW w:w="795"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r>
        <w:tblPrEx>
          <w:tblCellMar>
            <w:top w:w="0" w:type="dxa"/>
            <w:left w:w="108" w:type="dxa"/>
            <w:bottom w:w="0" w:type="dxa"/>
            <w:right w:w="108" w:type="dxa"/>
          </w:tblCellMar>
        </w:tblPrEx>
        <w:trPr>
          <w:trHeight w:val="324" w:hRule="atLeast"/>
          <w:jc w:val="center"/>
        </w:trPr>
        <w:tc>
          <w:tcPr>
            <w:tcW w:w="429"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1200" w:type="dxa"/>
            <w:vMerge w:val="continue"/>
            <w:tcBorders>
              <w:top w:val="nil"/>
              <w:left w:val="single" w:color="auto" w:sz="4" w:space="0"/>
              <w:bottom w:val="single" w:color="auto" w:sz="4" w:space="0"/>
              <w:right w:val="single" w:color="auto" w:sz="4" w:space="0"/>
            </w:tcBorders>
            <w:vAlign w:val="center"/>
          </w:tcPr>
          <w:p>
            <w:pPr>
              <w:widowControl/>
              <w:adjustRightInd w:val="0"/>
              <w:spacing w:line="360" w:lineRule="exact"/>
              <w:ind w:firstLine="0" w:firstLineChars="0"/>
              <w:jc w:val="left"/>
              <w:rPr>
                <w:rFonts w:eastAsia="宋体" w:cs="Times New Roman"/>
                <w:color w:val="000000"/>
                <w:kern w:val="0"/>
                <w:sz w:val="18"/>
                <w:szCs w:val="18"/>
              </w:rPr>
            </w:pPr>
          </w:p>
        </w:tc>
        <w:tc>
          <w:tcPr>
            <w:tcW w:w="2145"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　</w:t>
            </w:r>
          </w:p>
        </w:tc>
        <w:tc>
          <w:tcPr>
            <w:tcW w:w="8220" w:type="dxa"/>
            <w:tcBorders>
              <w:top w:val="nil"/>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left"/>
              <w:rPr>
                <w:rFonts w:eastAsia="宋体" w:cs="Times New Roman"/>
                <w:color w:val="000000"/>
                <w:kern w:val="0"/>
                <w:sz w:val="18"/>
                <w:szCs w:val="18"/>
              </w:rPr>
            </w:pPr>
            <w:r>
              <w:rPr>
                <w:rFonts w:eastAsia="宋体" w:cs="Times New Roman"/>
                <w:color w:val="000000"/>
                <w:kern w:val="0"/>
                <w:sz w:val="18"/>
                <w:szCs w:val="18"/>
              </w:rPr>
              <w:t>是否有HJ25.5中要求的其他必要附件</w:t>
            </w:r>
          </w:p>
        </w:tc>
        <w:tc>
          <w:tcPr>
            <w:tcW w:w="795"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c>
          <w:tcPr>
            <w:tcW w:w="1223" w:type="dxa"/>
            <w:vMerge w:val="continue"/>
            <w:tcBorders>
              <w:left w:val="nil"/>
              <w:bottom w:val="single" w:color="auto" w:sz="4" w:space="0"/>
              <w:right w:val="single" w:color="auto" w:sz="4" w:space="0"/>
            </w:tcBorders>
            <w:shd w:val="clear" w:color="auto" w:fill="auto"/>
            <w:vAlign w:val="center"/>
          </w:tcPr>
          <w:p>
            <w:pPr>
              <w:widowControl/>
              <w:adjustRightInd w:val="0"/>
              <w:spacing w:line="360" w:lineRule="exact"/>
              <w:ind w:firstLine="0" w:firstLineChars="0"/>
              <w:jc w:val="center"/>
              <w:rPr>
                <w:rFonts w:eastAsia="宋体" w:cs="Times New Roman"/>
                <w:color w:val="000000"/>
                <w:kern w:val="0"/>
                <w:sz w:val="18"/>
                <w:szCs w:val="18"/>
              </w:rPr>
            </w:pPr>
          </w:p>
        </w:tc>
      </w:tr>
    </w:tbl>
    <w:p>
      <w:pPr>
        <w:adjustRightInd w:val="0"/>
        <w:spacing w:line="360" w:lineRule="exact"/>
        <w:ind w:firstLine="360"/>
        <w:rPr>
          <w:rFonts w:eastAsia="宋体" w:cs="Times New Roman"/>
          <w:sz w:val="18"/>
          <w:szCs w:val="18"/>
        </w:rPr>
      </w:pPr>
      <w:r>
        <w:rPr>
          <w:rFonts w:eastAsia="宋体" w:cs="Times New Roman"/>
          <w:sz w:val="18"/>
          <w:szCs w:val="18"/>
        </w:rPr>
        <w:t>备注：1.表格中分值为单件评价量化分值。</w:t>
      </w:r>
    </w:p>
    <w:p>
      <w:pPr>
        <w:adjustRightInd w:val="0"/>
        <w:spacing w:line="360" w:lineRule="exact"/>
        <w:ind w:firstLine="900" w:firstLineChars="500"/>
        <w:rPr>
          <w:rFonts w:eastAsia="宋体" w:cs="Times New Roman"/>
          <w:sz w:val="18"/>
          <w:szCs w:val="18"/>
        </w:rPr>
      </w:pPr>
      <w:r>
        <w:rPr>
          <w:rFonts w:eastAsia="宋体" w:cs="Times New Roman"/>
          <w:sz w:val="18"/>
          <w:szCs w:val="18"/>
        </w:rPr>
        <w:t>2.形式审查由评审组织单位审核，形式审查不通过则不予评审。</w:t>
      </w:r>
    </w:p>
    <w:p>
      <w:pPr>
        <w:adjustRightInd w:val="0"/>
        <w:spacing w:line="360" w:lineRule="exact"/>
        <w:ind w:firstLine="900" w:firstLineChars="500"/>
        <w:rPr>
          <w:rFonts w:eastAsia="宋体" w:cs="Times New Roman"/>
          <w:sz w:val="18"/>
          <w:szCs w:val="18"/>
        </w:rPr>
      </w:pPr>
      <w:r>
        <w:rPr>
          <w:rFonts w:eastAsia="宋体" w:cs="Times New Roman"/>
          <w:sz w:val="18"/>
          <w:szCs w:val="18"/>
        </w:rPr>
        <w:t>3.评分为90分（含）以上的，技术文件直接评审通过；评分为60分（含）至90分的，技术文件评审通过但需修改；评分为60分以下的，技术文件不予评审通过。</w:t>
      </w:r>
    </w:p>
    <w:p>
      <w:pPr>
        <w:adjustRightInd w:val="0"/>
        <w:spacing w:line="360" w:lineRule="exact"/>
        <w:ind w:firstLine="0" w:firstLineChars="0"/>
        <w:rPr>
          <w:rFonts w:cs="Times New Roman"/>
        </w:rPr>
      </w:pPr>
    </w:p>
    <w:sectPr>
      <w:pgSz w:w="16838" w:h="11906" w:orient="landscape"/>
      <w:pgMar w:top="1797" w:right="1440" w:bottom="1797" w:left="1440"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8242732"/>
      <w:showingPlcHdr/>
    </w:sdtPr>
    <w:sdtContent>
      <w:p>
        <w:pPr>
          <w:pStyle w:val="11"/>
          <w:ind w:firstLine="360"/>
          <w:jc w:val="center"/>
        </w:pPr>
        <w:r>
          <w:t xml:space="preserve">     </w:t>
        </w:r>
      </w:p>
    </w:sdtContent>
  </w:sdt>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054587844"/>
                          </w:sdtPr>
                          <w:sdtContent>
                            <w:p>
                              <w:pPr>
                                <w:pStyle w:val="11"/>
                                <w:ind w:firstLine="360"/>
                                <w:jc w:val="center"/>
                              </w:pPr>
                              <w:r>
                                <w:fldChar w:fldCharType="begin"/>
                              </w:r>
                              <w:r>
                                <w:instrText xml:space="preserve">PAGE   \* MERGEFORMAT</w:instrText>
                              </w:r>
                              <w:r>
                                <w:fldChar w:fldCharType="separate"/>
                              </w:r>
                              <w:r>
                                <w:rPr>
                                  <w:lang w:val="zh-CN"/>
                                </w:rPr>
                                <w:t>III</w:t>
                              </w:r>
                              <w:r>
                                <w:fldChar w:fldCharType="end"/>
                              </w:r>
                            </w:p>
                          </w:sdtContent>
                        </w:sdt>
                        <w:p>
                          <w:pPr>
                            <w:ind w:firstLine="5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054587844"/>
                    </w:sdtPr>
                    <w:sdtContent>
                      <w:p>
                        <w:pPr>
                          <w:pStyle w:val="11"/>
                          <w:ind w:firstLine="360"/>
                          <w:jc w:val="center"/>
                        </w:pPr>
                        <w:r>
                          <w:fldChar w:fldCharType="begin"/>
                        </w:r>
                        <w:r>
                          <w:instrText xml:space="preserve">PAGE   \* MERGEFORMAT</w:instrText>
                        </w:r>
                        <w:r>
                          <w:fldChar w:fldCharType="separate"/>
                        </w:r>
                        <w:r>
                          <w:rPr>
                            <w:lang w:val="zh-CN"/>
                          </w:rPr>
                          <w:t>III</w:t>
                        </w:r>
                        <w:r>
                          <w:fldChar w:fldCharType="end"/>
                        </w:r>
                      </w:p>
                    </w:sdtContent>
                  </w:sdt>
                  <w:p>
                    <w:pPr>
                      <w:ind w:firstLine="560"/>
                    </w:pPr>
                  </w:p>
                </w:txbxContent>
              </v:textbox>
            </v:shape>
          </w:pict>
        </mc:Fallback>
      </mc:AlternateContent>
    </w:r>
  </w:p>
  <w:p>
    <w:pPr>
      <w:pStyle w:val="1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9240773"/>
    </w:sdtPr>
    <w:sdtContent>
      <w:p>
        <w:pPr>
          <w:pStyle w:val="11"/>
          <w:ind w:firstLine="360"/>
          <w:jc w:val="center"/>
        </w:pPr>
        <w:r>
          <w:fldChar w:fldCharType="begin"/>
        </w:r>
        <w:r>
          <w:instrText xml:space="preserve">PAGE   \* MERGEFORMAT</w:instrText>
        </w:r>
        <w:r>
          <w:fldChar w:fldCharType="separate"/>
        </w:r>
        <w:r>
          <w:rPr>
            <w:lang w:val="zh-CN"/>
          </w:rPr>
          <w:t>2</w:t>
        </w:r>
        <w:r>
          <w:fldChar w:fldCharType="end"/>
        </w:r>
      </w:p>
    </w:sdtContent>
  </w:sdt>
  <w:p>
    <w:pPr>
      <w:pStyle w:val="11"/>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1622486"/>
    </w:sdtPr>
    <w:sdtContent>
      <w:p>
        <w:pPr>
          <w:pStyle w:val="11"/>
          <w:ind w:firstLine="360"/>
          <w:jc w:val="center"/>
        </w:pPr>
        <w:r>
          <w:fldChar w:fldCharType="begin"/>
        </w:r>
        <w:r>
          <w:instrText xml:space="preserve">PAGE   \* MERGEFORMAT</w:instrText>
        </w:r>
        <w:r>
          <w:fldChar w:fldCharType="separate"/>
        </w:r>
        <w:r>
          <w:rPr>
            <w:lang w:val="zh-CN"/>
          </w:rPr>
          <w:t>11</w:t>
        </w:r>
        <w:r>
          <w:fldChar w:fldCharType="end"/>
        </w:r>
      </w:p>
    </w:sdtContent>
  </w:sdt>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A63B21"/>
    <w:multiLevelType w:val="multilevel"/>
    <w:tmpl w:val="8AA63B21"/>
    <w:lvl w:ilvl="0" w:tentative="0">
      <w:start w:val="1"/>
      <w:numFmt w:val="decimal"/>
      <w:pStyle w:val="64"/>
      <w:suff w:val="nothing"/>
      <w:lvlText w:val="%1　"/>
      <w:lvlJc w:val="left"/>
      <w:pPr>
        <w:ind w:left="0" w:firstLine="0"/>
        <w:textAlignment w:val="baseline"/>
      </w:pPr>
      <w:rPr>
        <w:rFonts w:ascii="黑体" w:hAnsi="Times New Roman" w:eastAsia="黑体"/>
        <w:b w:val="0"/>
        <w:i w:val="0"/>
        <w:sz w:val="21"/>
        <w:szCs w:val="21"/>
      </w:rPr>
    </w:lvl>
    <w:lvl w:ilvl="1" w:tentative="0">
      <w:start w:val="1"/>
      <w:numFmt w:val="decimal"/>
      <w:suff w:val="nothing"/>
      <w:lvlText w:val="%1.%2　"/>
      <w:lvlJc w:val="left"/>
      <w:pPr>
        <w:ind w:left="0" w:firstLine="0"/>
        <w:textAlignment w:val="baseline"/>
      </w:pPr>
      <w:rPr>
        <w:rFonts w:ascii="黑体" w:hAnsi="Times New Roman" w:eastAsia="黑体"/>
        <w:b w:val="0"/>
        <w:bCs w:val="0"/>
        <w:i w:val="0"/>
        <w:iCs w:val="0"/>
        <w:caps w:val="0"/>
        <w:strike w:val="0"/>
        <w:dstrike w:val="0"/>
        <w:outline w:val="0"/>
        <w:shadow w:val="0"/>
        <w:emboss w:val="0"/>
        <w:imprint w:val="0"/>
        <w:vanish w:val="0"/>
        <w:kern w:val="0"/>
        <w:position w:val="0"/>
        <w:sz w:val="21"/>
        <w:szCs w:val="21"/>
      </w:rPr>
    </w:lvl>
    <w:lvl w:ilvl="2" w:tentative="0">
      <w:start w:val="1"/>
      <w:numFmt w:val="decimal"/>
      <w:suff w:val="nothing"/>
      <w:lvlText w:val="%1.%2.%3　"/>
      <w:lvlJc w:val="left"/>
      <w:pPr>
        <w:ind w:left="0" w:firstLine="0"/>
        <w:textAlignment w:val="baseline"/>
      </w:pPr>
      <w:rPr>
        <w:rFonts w:ascii="黑体" w:hAnsi="Times New Roman" w:eastAsia="黑体"/>
        <w:b w:val="0"/>
        <w:i w:val="0"/>
        <w:sz w:val="21"/>
      </w:rPr>
    </w:lvl>
    <w:lvl w:ilvl="3" w:tentative="0">
      <w:start w:val="1"/>
      <w:numFmt w:val="decimal"/>
      <w:suff w:val="nothing"/>
      <w:lvlText w:val="%1.%2.%3.%4　"/>
      <w:lvlJc w:val="left"/>
      <w:pPr>
        <w:ind w:left="0" w:firstLine="0"/>
        <w:textAlignment w:val="baseline"/>
      </w:pPr>
      <w:rPr>
        <w:rFonts w:ascii="黑体" w:hAnsi="Times New Roman" w:eastAsia="黑体"/>
        <w:b w:val="0"/>
        <w:i w:val="0"/>
        <w:sz w:val="21"/>
      </w:rPr>
    </w:lvl>
    <w:lvl w:ilvl="4" w:tentative="0">
      <w:start w:val="1"/>
      <w:numFmt w:val="decimal"/>
      <w:suff w:val="nothing"/>
      <w:lvlText w:val="%1.%2.%3.%4.%5　"/>
      <w:lvlJc w:val="left"/>
      <w:pPr>
        <w:ind w:left="0" w:firstLine="0"/>
        <w:textAlignment w:val="baseline"/>
      </w:pPr>
      <w:rPr>
        <w:rFonts w:ascii="黑体" w:hAnsi="Times New Roman" w:eastAsia="黑体"/>
        <w:b w:val="0"/>
        <w:i w:val="0"/>
        <w:sz w:val="21"/>
      </w:rPr>
    </w:lvl>
    <w:lvl w:ilvl="5" w:tentative="0">
      <w:start w:val="1"/>
      <w:numFmt w:val="decimal"/>
      <w:suff w:val="nothing"/>
      <w:lvlText w:val="%1.%2.%3.%4.%5.%6　"/>
      <w:lvlJc w:val="left"/>
      <w:pPr>
        <w:ind w:left="0" w:firstLine="0"/>
        <w:textAlignment w:val="baseline"/>
      </w:pPr>
      <w:rPr>
        <w:rFonts w:ascii="黑体" w:hAnsi="Times New Roman" w:eastAsia="黑体"/>
        <w:b w:val="0"/>
        <w:i w:val="0"/>
        <w:sz w:val="21"/>
      </w:rPr>
    </w:lvl>
    <w:lvl w:ilvl="6" w:tentative="0">
      <w:start w:val="1"/>
      <w:numFmt w:val="decimal"/>
      <w:suff w:val="nothing"/>
      <w:lvlText w:val="%1%2.%3.%4.%5.%6.%7　"/>
      <w:lvlJc w:val="left"/>
      <w:pPr>
        <w:ind w:left="0" w:firstLine="0"/>
        <w:textAlignment w:val="baseline"/>
      </w:pPr>
      <w:rPr>
        <w:rFonts w:ascii="黑体" w:hAnsi="Times New Roman" w:eastAsia="黑体"/>
        <w:b w:val="0"/>
        <w:i w:val="0"/>
        <w:sz w:val="21"/>
      </w:rPr>
    </w:lvl>
    <w:lvl w:ilvl="7" w:tentative="0">
      <w:start w:val="1"/>
      <w:numFmt w:val="decimal"/>
      <w:lvlText w:val="%1.%2.%3.%4.%5.%6.%7.%8"/>
      <w:lvlJc w:val="left"/>
      <w:pPr>
        <w:tabs>
          <w:tab w:val="left" w:pos="4351"/>
        </w:tabs>
        <w:ind w:left="3969" w:hanging="1418"/>
        <w:textAlignment w:val="baseline"/>
      </w:pPr>
    </w:lvl>
    <w:lvl w:ilvl="8" w:tentative="0">
      <w:start w:val="1"/>
      <w:numFmt w:val="decimal"/>
      <w:lvlText w:val="%1.%2.%3.%4.%5.%6.%7.%8.%9"/>
      <w:lvlJc w:val="left"/>
      <w:pPr>
        <w:tabs>
          <w:tab w:val="left" w:pos="4777"/>
        </w:tabs>
        <w:ind w:left="4677" w:hanging="1700"/>
        <w:textAlignment w:val="baseline"/>
      </w:pPr>
    </w:lvl>
  </w:abstractNum>
  <w:abstractNum w:abstractNumId="1">
    <w:nsid w:val="8EB478B3"/>
    <w:multiLevelType w:val="multilevel"/>
    <w:tmpl w:val="8EB478B3"/>
    <w:lvl w:ilvl="0" w:tentative="0">
      <w:start w:val="1"/>
      <w:numFmt w:val="decimal"/>
      <w:lvlText w:val="%1"/>
      <w:lvlJc w:val="left"/>
      <w:pPr>
        <w:ind w:left="425" w:hanging="425"/>
      </w:pPr>
      <w:rPr>
        <w:rFonts w:hint="default" w:ascii="黑体" w:hAnsi="黑体" w:eastAsia="黑体" w:cs="Times New Roman"/>
      </w:rPr>
    </w:lvl>
    <w:lvl w:ilvl="1" w:tentative="0">
      <w:start w:val="1"/>
      <w:numFmt w:val="decimal"/>
      <w:lvlText w:val="%1.%2"/>
      <w:lvlJc w:val="left"/>
      <w:pPr>
        <w:ind w:left="567" w:hanging="567"/>
      </w:pPr>
      <w:rPr>
        <w:rFonts w:hint="default" w:ascii="黑体" w:hAnsi="黑体" w:eastAsia="黑体" w:cs="宋体"/>
      </w:rPr>
    </w:lvl>
    <w:lvl w:ilvl="2" w:tentative="0">
      <w:start w:val="1"/>
      <w:numFmt w:val="decimal"/>
      <w:lvlText w:val="%1.%2.%3"/>
      <w:lvlJc w:val="left"/>
      <w:pPr>
        <w:ind w:left="709" w:hanging="709"/>
      </w:pPr>
      <w:rPr>
        <w:rFonts w:hint="default" w:ascii="黑体" w:hAnsi="黑体" w:eastAsia="黑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00000019"/>
    <w:multiLevelType w:val="singleLevel"/>
    <w:tmpl w:val="00000019"/>
    <w:lvl w:ilvl="0" w:tentative="0">
      <w:start w:val="1"/>
      <w:numFmt w:val="decimal"/>
      <w:suff w:val="nothing"/>
      <w:lvlText w:val="（%1）"/>
      <w:lvlJc w:val="left"/>
      <w:rPr>
        <w:rFonts w:cs="Times New Roman"/>
      </w:rPr>
    </w:lvl>
  </w:abstractNum>
  <w:abstractNum w:abstractNumId="3">
    <w:nsid w:val="09487977"/>
    <w:multiLevelType w:val="singleLevel"/>
    <w:tmpl w:val="09487977"/>
    <w:lvl w:ilvl="0" w:tentative="0">
      <w:start w:val="1"/>
      <w:numFmt w:val="decimal"/>
      <w:lvlText w:val="%1"/>
      <w:lvlJc w:val="left"/>
      <w:pPr>
        <w:tabs>
          <w:tab w:val="left" w:pos="420"/>
        </w:tabs>
        <w:ind w:left="425" w:hanging="425"/>
      </w:pPr>
      <w:rPr>
        <w:rFonts w:hint="default"/>
      </w:rPr>
    </w:lvl>
  </w:abstractNum>
  <w:abstractNum w:abstractNumId="4">
    <w:nsid w:val="1FC91163"/>
    <w:multiLevelType w:val="multilevel"/>
    <w:tmpl w:val="1FC91163"/>
    <w:lvl w:ilvl="0" w:tentative="0">
      <w:start w:val="1"/>
      <w:numFmt w:val="decimal"/>
      <w:suff w:val="nothing"/>
      <w:lvlText w:val="%1　"/>
      <w:lvlJc w:val="left"/>
      <w:pPr>
        <w:ind w:left="0" w:firstLine="0"/>
        <w:textAlignment w:val="baseline"/>
      </w:pPr>
      <w:rPr>
        <w:rFonts w:ascii="黑体" w:hAnsi="Times New Roman" w:eastAsia="黑体"/>
        <w:b w:val="0"/>
        <w:i w:val="0"/>
        <w:sz w:val="21"/>
        <w:szCs w:val="21"/>
      </w:rPr>
    </w:lvl>
    <w:lvl w:ilvl="1" w:tentative="0">
      <w:start w:val="1"/>
      <w:numFmt w:val="decimal"/>
      <w:pStyle w:val="65"/>
      <w:suff w:val="nothing"/>
      <w:lvlText w:val="%1.%2　"/>
      <w:lvlJc w:val="left"/>
      <w:pPr>
        <w:ind w:left="0" w:firstLine="0"/>
        <w:textAlignment w:val="baseline"/>
      </w:pPr>
      <w:rPr>
        <w:rFonts w:ascii="黑体" w:hAnsi="Times New Roman" w:eastAsia="黑体"/>
        <w:b w:val="0"/>
        <w:bCs w:val="0"/>
        <w:i w:val="0"/>
        <w:iCs w:val="0"/>
        <w:caps w:val="0"/>
        <w:strike w:val="0"/>
        <w:dstrike w:val="0"/>
        <w:outline w:val="0"/>
        <w:shadow w:val="0"/>
        <w:emboss w:val="0"/>
        <w:imprint w:val="0"/>
        <w:vanish w:val="0"/>
        <w:kern w:val="0"/>
        <w:position w:val="0"/>
        <w:sz w:val="21"/>
        <w:szCs w:val="21"/>
      </w:rPr>
    </w:lvl>
    <w:lvl w:ilvl="2" w:tentative="0">
      <w:start w:val="1"/>
      <w:numFmt w:val="decimal"/>
      <w:pStyle w:val="66"/>
      <w:suff w:val="nothing"/>
      <w:lvlText w:val="%1.%2.%3　"/>
      <w:lvlJc w:val="left"/>
      <w:pPr>
        <w:ind w:left="0" w:firstLine="0"/>
        <w:textAlignment w:val="baseline"/>
      </w:pPr>
      <w:rPr>
        <w:rFonts w:ascii="黑体" w:hAnsi="Times New Roman" w:eastAsia="黑体"/>
        <w:b w:val="0"/>
        <w:i w:val="0"/>
        <w:sz w:val="21"/>
      </w:rPr>
    </w:lvl>
    <w:lvl w:ilvl="3" w:tentative="0">
      <w:start w:val="1"/>
      <w:numFmt w:val="decimal"/>
      <w:suff w:val="nothing"/>
      <w:lvlText w:val="%1.%2.%3.%4　"/>
      <w:lvlJc w:val="left"/>
      <w:pPr>
        <w:ind w:left="0" w:firstLine="0"/>
        <w:textAlignment w:val="baseline"/>
      </w:pPr>
      <w:rPr>
        <w:rFonts w:ascii="黑体" w:hAnsi="Times New Roman" w:eastAsia="黑体"/>
        <w:b w:val="0"/>
        <w:i w:val="0"/>
        <w:sz w:val="21"/>
      </w:rPr>
    </w:lvl>
    <w:lvl w:ilvl="4" w:tentative="0">
      <w:start w:val="1"/>
      <w:numFmt w:val="decimal"/>
      <w:suff w:val="nothing"/>
      <w:lvlText w:val="%1.%2.%3.%4.%5　"/>
      <w:lvlJc w:val="left"/>
      <w:pPr>
        <w:ind w:left="0" w:firstLine="0"/>
        <w:textAlignment w:val="baseline"/>
      </w:pPr>
      <w:rPr>
        <w:rFonts w:ascii="黑体" w:hAnsi="Times New Roman" w:eastAsia="黑体"/>
        <w:b w:val="0"/>
        <w:i w:val="0"/>
        <w:sz w:val="21"/>
      </w:rPr>
    </w:lvl>
    <w:lvl w:ilvl="5" w:tentative="0">
      <w:start w:val="1"/>
      <w:numFmt w:val="decimal"/>
      <w:suff w:val="nothing"/>
      <w:lvlText w:val="%1.%2.%3.%4.%5.%6　"/>
      <w:lvlJc w:val="left"/>
      <w:pPr>
        <w:ind w:left="0" w:firstLine="0"/>
        <w:textAlignment w:val="baseline"/>
      </w:pPr>
      <w:rPr>
        <w:rFonts w:ascii="黑体" w:hAnsi="Times New Roman" w:eastAsia="黑体"/>
        <w:b w:val="0"/>
        <w:i w:val="0"/>
        <w:sz w:val="21"/>
      </w:rPr>
    </w:lvl>
    <w:lvl w:ilvl="6" w:tentative="0">
      <w:start w:val="1"/>
      <w:numFmt w:val="decimal"/>
      <w:suff w:val="nothing"/>
      <w:lvlText w:val="%1%2.%3.%4.%5.%6.%7　"/>
      <w:lvlJc w:val="left"/>
      <w:pPr>
        <w:ind w:left="0" w:firstLine="0"/>
        <w:textAlignment w:val="baseline"/>
      </w:pPr>
      <w:rPr>
        <w:rFonts w:ascii="黑体" w:hAnsi="Times New Roman" w:eastAsia="黑体"/>
        <w:b w:val="0"/>
        <w:i w:val="0"/>
        <w:sz w:val="21"/>
      </w:rPr>
    </w:lvl>
    <w:lvl w:ilvl="7" w:tentative="0">
      <w:start w:val="1"/>
      <w:numFmt w:val="decimal"/>
      <w:lvlText w:val="%1.%2.%3.%4.%5.%6.%7.%8"/>
      <w:lvlJc w:val="left"/>
      <w:pPr>
        <w:tabs>
          <w:tab w:val="left" w:pos="4351"/>
        </w:tabs>
        <w:ind w:left="3969" w:hanging="1418"/>
        <w:textAlignment w:val="baseline"/>
      </w:pPr>
    </w:lvl>
    <w:lvl w:ilvl="8" w:tentative="0">
      <w:start w:val="1"/>
      <w:numFmt w:val="decimal"/>
      <w:lvlText w:val="%1.%2.%3.%4.%5.%6.%7.%8.%9"/>
      <w:lvlJc w:val="left"/>
      <w:pPr>
        <w:tabs>
          <w:tab w:val="left" w:pos="4777"/>
        </w:tabs>
        <w:ind w:left="4677" w:hanging="1700"/>
        <w:textAlignment w:val="baseline"/>
      </w:pPr>
    </w:lvl>
  </w:abstractNum>
  <w:abstractNum w:abstractNumId="5">
    <w:nsid w:val="23F6C770"/>
    <w:multiLevelType w:val="multilevel"/>
    <w:tmpl w:val="23F6C770"/>
    <w:lvl w:ilvl="0" w:tentative="0">
      <w:start w:val="1"/>
      <w:numFmt w:val="decimal"/>
      <w:pStyle w:val="67"/>
      <w:suff w:val="nothing"/>
      <w:lvlText w:val="表1-%1　"/>
      <w:lvlJc w:val="left"/>
      <w:pPr>
        <w:tabs>
          <w:tab w:val="left" w:pos="0"/>
        </w:tabs>
        <w:ind w:left="0" w:firstLine="0"/>
        <w:textAlignment w:val="baseline"/>
      </w:pPr>
      <w:rPr>
        <w:rFonts w:hint="default" w:ascii="宋体" w:hAnsi="宋体" w:eastAsia="黑体" w:cs="黑体"/>
        <w:b w:val="0"/>
        <w:i w:val="0"/>
        <w:sz w:val="21"/>
      </w:rPr>
    </w:lvl>
    <w:lvl w:ilvl="1" w:tentative="0">
      <w:start w:val="1"/>
      <w:numFmt w:val="decimal"/>
      <w:lvlText w:val="%1.%2"/>
      <w:lvlJc w:val="left"/>
      <w:pPr>
        <w:tabs>
          <w:tab w:val="left" w:pos="420"/>
        </w:tabs>
        <w:ind w:left="992" w:hanging="567"/>
        <w:textAlignment w:val="baseline"/>
      </w:pPr>
      <w:rPr>
        <w:rFonts w:hint="default" w:ascii="宋体" w:hAnsi="宋体" w:eastAsia="宋体" w:cs="宋体"/>
      </w:rPr>
    </w:lvl>
    <w:lvl w:ilvl="2" w:tentative="0">
      <w:start w:val="1"/>
      <w:numFmt w:val="decimal"/>
      <w:lvlText w:val="%1.%2.%3"/>
      <w:lvlJc w:val="left"/>
      <w:pPr>
        <w:tabs>
          <w:tab w:val="left" w:pos="1418"/>
        </w:tabs>
        <w:ind w:left="1418" w:hanging="567"/>
        <w:textAlignment w:val="baseline"/>
      </w:pPr>
    </w:lvl>
    <w:lvl w:ilvl="3" w:tentative="0">
      <w:start w:val="1"/>
      <w:numFmt w:val="decimal"/>
      <w:lvlText w:val="%1.%2.%3.%4"/>
      <w:lvlJc w:val="left"/>
      <w:pPr>
        <w:tabs>
          <w:tab w:val="left" w:pos="1984"/>
        </w:tabs>
        <w:ind w:left="1984" w:hanging="708"/>
        <w:textAlignment w:val="baseline"/>
      </w:pPr>
    </w:lvl>
    <w:lvl w:ilvl="4" w:tentative="0">
      <w:start w:val="1"/>
      <w:numFmt w:val="decimal"/>
      <w:lvlText w:val="%1.%2.%3.%4.%5"/>
      <w:lvlJc w:val="left"/>
      <w:pPr>
        <w:tabs>
          <w:tab w:val="left" w:pos="2551"/>
        </w:tabs>
        <w:ind w:left="2551" w:hanging="850"/>
        <w:textAlignment w:val="baseline"/>
      </w:pPr>
    </w:lvl>
    <w:lvl w:ilvl="5" w:tentative="0">
      <w:start w:val="1"/>
      <w:numFmt w:val="decimal"/>
      <w:lvlText w:val="%1.%2.%3.%4.%5.%6"/>
      <w:lvlJc w:val="left"/>
      <w:pPr>
        <w:tabs>
          <w:tab w:val="left" w:pos="3260"/>
        </w:tabs>
        <w:ind w:left="3260" w:hanging="1134"/>
        <w:textAlignment w:val="baseline"/>
      </w:pPr>
    </w:lvl>
    <w:lvl w:ilvl="6" w:tentative="0">
      <w:start w:val="1"/>
      <w:numFmt w:val="decimal"/>
      <w:lvlText w:val="%1.%2.%3.%4.%5.%6.%7"/>
      <w:lvlJc w:val="left"/>
      <w:pPr>
        <w:tabs>
          <w:tab w:val="left" w:pos="3827"/>
        </w:tabs>
        <w:ind w:left="3827" w:hanging="1276"/>
        <w:textAlignment w:val="baseline"/>
      </w:pPr>
    </w:lvl>
    <w:lvl w:ilvl="7" w:tentative="0">
      <w:start w:val="1"/>
      <w:numFmt w:val="decimal"/>
      <w:lvlText w:val="%1.%2.%3.%4.%5.%6.%7.%8"/>
      <w:lvlJc w:val="left"/>
      <w:pPr>
        <w:tabs>
          <w:tab w:val="left" w:pos="4394"/>
        </w:tabs>
        <w:ind w:left="4394" w:hanging="1418"/>
        <w:textAlignment w:val="baseline"/>
      </w:pPr>
    </w:lvl>
    <w:lvl w:ilvl="8" w:tentative="0">
      <w:start w:val="1"/>
      <w:numFmt w:val="decimal"/>
      <w:lvlText w:val="%1.%2.%3.%4.%5.%6.%7.%8.%9"/>
      <w:lvlJc w:val="left"/>
      <w:pPr>
        <w:tabs>
          <w:tab w:val="left" w:pos="5102"/>
        </w:tabs>
        <w:ind w:left="5102" w:hanging="1700"/>
        <w:textAlignment w:val="baseline"/>
      </w:pPr>
    </w:lvl>
  </w:abstractNum>
  <w:abstractNum w:abstractNumId="6">
    <w:nsid w:val="402D4C03"/>
    <w:multiLevelType w:val="multilevel"/>
    <w:tmpl w:val="402D4C03"/>
    <w:lvl w:ilvl="0" w:tentative="0">
      <w:start w:val="1"/>
      <w:numFmt w:val="decimal"/>
      <w:lvlText w:val="%1"/>
      <w:lvlJc w:val="left"/>
      <w:pPr>
        <w:ind w:left="425" w:hanging="425"/>
      </w:pPr>
      <w:rPr>
        <w:rFonts w:hint="default" w:ascii="黑体" w:hAnsi="黑体" w:eastAsia="黑体" w:cs="Times New Roman"/>
      </w:rPr>
    </w:lvl>
    <w:lvl w:ilvl="1" w:tentative="0">
      <w:start w:val="1"/>
      <w:numFmt w:val="decimal"/>
      <w:lvlText w:val="%1.%2"/>
      <w:lvlJc w:val="left"/>
      <w:pPr>
        <w:ind w:left="567" w:hanging="567"/>
      </w:pPr>
      <w:rPr>
        <w:rFonts w:hint="default" w:ascii="黑体" w:hAnsi="黑体" w:eastAsia="黑体" w:cs="Times New Roman"/>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470D7C0D"/>
    <w:multiLevelType w:val="multilevel"/>
    <w:tmpl w:val="470D7C0D"/>
    <w:lvl w:ilvl="0" w:tentative="0">
      <w:start w:val="1"/>
      <w:numFmt w:val="decimal"/>
      <w:lvlText w:val="%1"/>
      <w:lvlJc w:val="left"/>
      <w:pPr>
        <w:ind w:left="425" w:hanging="425"/>
      </w:pPr>
      <w:rPr>
        <w:rFonts w:hint="default" w:ascii="黑体" w:hAnsi="黑体" w:eastAsia="黑体" w:cs="黑体"/>
      </w:rPr>
    </w:lvl>
    <w:lvl w:ilvl="1" w:tentative="0">
      <w:start w:val="1"/>
      <w:numFmt w:val="decimal"/>
      <w:lvlText w:val="%1.%2"/>
      <w:lvlJc w:val="left"/>
      <w:pPr>
        <w:ind w:left="567" w:hanging="567"/>
      </w:pPr>
      <w:rPr>
        <w:rFonts w:hint="default" w:ascii="黑体" w:hAnsi="黑体" w:eastAsia="黑体" w:cs="黑体"/>
      </w:rPr>
    </w:lvl>
    <w:lvl w:ilvl="2" w:tentative="0">
      <w:start w:val="1"/>
      <w:numFmt w:val="decimal"/>
      <w:lvlText w:val="%1.%2.%3"/>
      <w:lvlJc w:val="left"/>
      <w:pPr>
        <w:ind w:left="709" w:hanging="709"/>
      </w:pPr>
      <w:rPr>
        <w:rFonts w:hint="default" w:ascii="黑体" w:hAnsi="黑体" w:eastAsia="黑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683CCCD7"/>
    <w:multiLevelType w:val="multilevel"/>
    <w:tmpl w:val="683CCCD7"/>
    <w:lvl w:ilvl="0" w:tentative="0">
      <w:start w:val="1"/>
      <w:numFmt w:val="decimal"/>
      <w:lvlText w:val="%1"/>
      <w:lvlJc w:val="left"/>
      <w:pPr>
        <w:ind w:left="425" w:hanging="425"/>
      </w:pPr>
      <w:rPr>
        <w:rFonts w:hint="default" w:ascii="黑体" w:hAnsi="黑体" w:eastAsia="黑体" w:cs="黑体"/>
      </w:rPr>
    </w:lvl>
    <w:lvl w:ilvl="1" w:tentative="0">
      <w:start w:val="1"/>
      <w:numFmt w:val="decimal"/>
      <w:lvlText w:val="%1.%2"/>
      <w:lvlJc w:val="left"/>
      <w:pPr>
        <w:ind w:left="567" w:hanging="567"/>
      </w:pPr>
      <w:rPr>
        <w:rFonts w:hint="default" w:ascii="黑体" w:hAnsi="黑体" w:eastAsia="黑体" w:cs="黑体"/>
      </w:rPr>
    </w:lvl>
    <w:lvl w:ilvl="2" w:tentative="0">
      <w:start w:val="1"/>
      <w:numFmt w:val="decimal"/>
      <w:lvlText w:val="%1.%2.%3"/>
      <w:lvlJc w:val="left"/>
      <w:pPr>
        <w:ind w:left="709" w:hanging="709"/>
      </w:pPr>
      <w:rPr>
        <w:rFonts w:hint="default" w:ascii="黑体" w:hAnsi="黑体" w:eastAsia="黑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 w:numId="2">
    <w:abstractNumId w:val="4"/>
  </w:num>
  <w:num w:numId="3">
    <w:abstractNumId w:val="5"/>
  </w:num>
  <w:num w:numId="4">
    <w:abstractNumId w:val="3"/>
  </w:num>
  <w:num w:numId="5">
    <w:abstractNumId w:val="8"/>
  </w:num>
  <w:num w:numId="6">
    <w:abstractNumId w:val="6"/>
  </w:num>
  <w:num w:numId="7">
    <w:abstractNumId w:val="2"/>
    <w:lvlOverride w:ilvl="0">
      <w:startOverride w:val="1"/>
    </w:lvlOverride>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trackedChanges" w:enforcement="0"/>
  <w:defaultTabStop w:val="420"/>
  <w:drawingGridHorizontalSpacing w:val="140"/>
  <w:drawingGridVerticalSpacing w:val="156"/>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DA0"/>
    <w:rsid w:val="000039E0"/>
    <w:rsid w:val="000047FB"/>
    <w:rsid w:val="00005727"/>
    <w:rsid w:val="000065F9"/>
    <w:rsid w:val="00010817"/>
    <w:rsid w:val="0001204F"/>
    <w:rsid w:val="000141E4"/>
    <w:rsid w:val="00014538"/>
    <w:rsid w:val="000156F5"/>
    <w:rsid w:val="000173DA"/>
    <w:rsid w:val="00017D1D"/>
    <w:rsid w:val="000207F8"/>
    <w:rsid w:val="00021789"/>
    <w:rsid w:val="000219C3"/>
    <w:rsid w:val="00021CBC"/>
    <w:rsid w:val="00021E08"/>
    <w:rsid w:val="0002282C"/>
    <w:rsid w:val="00023768"/>
    <w:rsid w:val="00024CFE"/>
    <w:rsid w:val="00026F01"/>
    <w:rsid w:val="00027583"/>
    <w:rsid w:val="00027D15"/>
    <w:rsid w:val="000337CC"/>
    <w:rsid w:val="00034580"/>
    <w:rsid w:val="00034597"/>
    <w:rsid w:val="000354F6"/>
    <w:rsid w:val="000364C1"/>
    <w:rsid w:val="00036C5E"/>
    <w:rsid w:val="000408A7"/>
    <w:rsid w:val="00040CC5"/>
    <w:rsid w:val="000421D2"/>
    <w:rsid w:val="00042F41"/>
    <w:rsid w:val="00043E64"/>
    <w:rsid w:val="00044925"/>
    <w:rsid w:val="00045C1E"/>
    <w:rsid w:val="000466C8"/>
    <w:rsid w:val="00051ABE"/>
    <w:rsid w:val="00052A0C"/>
    <w:rsid w:val="00052F9A"/>
    <w:rsid w:val="00053095"/>
    <w:rsid w:val="000562D7"/>
    <w:rsid w:val="0006043C"/>
    <w:rsid w:val="00061374"/>
    <w:rsid w:val="00061CA9"/>
    <w:rsid w:val="0006236A"/>
    <w:rsid w:val="00063CAD"/>
    <w:rsid w:val="0006427E"/>
    <w:rsid w:val="0006600A"/>
    <w:rsid w:val="000662B8"/>
    <w:rsid w:val="00066D6F"/>
    <w:rsid w:val="00066E92"/>
    <w:rsid w:val="00067D60"/>
    <w:rsid w:val="00067ECA"/>
    <w:rsid w:val="000747AE"/>
    <w:rsid w:val="00074AF1"/>
    <w:rsid w:val="00074BBF"/>
    <w:rsid w:val="0007636D"/>
    <w:rsid w:val="00076E3F"/>
    <w:rsid w:val="000776B8"/>
    <w:rsid w:val="000807AE"/>
    <w:rsid w:val="00084DDD"/>
    <w:rsid w:val="00085B5F"/>
    <w:rsid w:val="000866F4"/>
    <w:rsid w:val="00086AD5"/>
    <w:rsid w:val="0009041B"/>
    <w:rsid w:val="00092510"/>
    <w:rsid w:val="00093F97"/>
    <w:rsid w:val="00095B28"/>
    <w:rsid w:val="00096CE3"/>
    <w:rsid w:val="00097FB6"/>
    <w:rsid w:val="000A1E4F"/>
    <w:rsid w:val="000A3720"/>
    <w:rsid w:val="000A573F"/>
    <w:rsid w:val="000A6A26"/>
    <w:rsid w:val="000A7DBB"/>
    <w:rsid w:val="000B089E"/>
    <w:rsid w:val="000B14CA"/>
    <w:rsid w:val="000B43C1"/>
    <w:rsid w:val="000B52A6"/>
    <w:rsid w:val="000B5EF7"/>
    <w:rsid w:val="000B6163"/>
    <w:rsid w:val="000B6EC5"/>
    <w:rsid w:val="000B7482"/>
    <w:rsid w:val="000C0764"/>
    <w:rsid w:val="000C2C6A"/>
    <w:rsid w:val="000C3226"/>
    <w:rsid w:val="000C4BAC"/>
    <w:rsid w:val="000C6626"/>
    <w:rsid w:val="000C698E"/>
    <w:rsid w:val="000C6E0F"/>
    <w:rsid w:val="000C75F9"/>
    <w:rsid w:val="000C7EA6"/>
    <w:rsid w:val="000D043A"/>
    <w:rsid w:val="000D2B38"/>
    <w:rsid w:val="000D3230"/>
    <w:rsid w:val="000D7741"/>
    <w:rsid w:val="000E0BF5"/>
    <w:rsid w:val="000E38A4"/>
    <w:rsid w:val="000E3B43"/>
    <w:rsid w:val="000E494C"/>
    <w:rsid w:val="000E63E7"/>
    <w:rsid w:val="000F00B9"/>
    <w:rsid w:val="000F1928"/>
    <w:rsid w:val="000F196F"/>
    <w:rsid w:val="000F1DFE"/>
    <w:rsid w:val="000F441B"/>
    <w:rsid w:val="000F56BD"/>
    <w:rsid w:val="000F620E"/>
    <w:rsid w:val="000F6C29"/>
    <w:rsid w:val="000F76FA"/>
    <w:rsid w:val="001007C3"/>
    <w:rsid w:val="00100FBE"/>
    <w:rsid w:val="00101276"/>
    <w:rsid w:val="00101430"/>
    <w:rsid w:val="00101B24"/>
    <w:rsid w:val="00101EC9"/>
    <w:rsid w:val="00102BAD"/>
    <w:rsid w:val="00104863"/>
    <w:rsid w:val="00105BBD"/>
    <w:rsid w:val="00106ED6"/>
    <w:rsid w:val="001079D6"/>
    <w:rsid w:val="0011103A"/>
    <w:rsid w:val="00112244"/>
    <w:rsid w:val="00117366"/>
    <w:rsid w:val="00117AEF"/>
    <w:rsid w:val="0012033F"/>
    <w:rsid w:val="00120CA9"/>
    <w:rsid w:val="00122485"/>
    <w:rsid w:val="00126D2C"/>
    <w:rsid w:val="00126D95"/>
    <w:rsid w:val="00127732"/>
    <w:rsid w:val="00127AF7"/>
    <w:rsid w:val="00131A0C"/>
    <w:rsid w:val="00131D26"/>
    <w:rsid w:val="00132744"/>
    <w:rsid w:val="00134B51"/>
    <w:rsid w:val="00134F97"/>
    <w:rsid w:val="00136B62"/>
    <w:rsid w:val="00136DFB"/>
    <w:rsid w:val="001412A9"/>
    <w:rsid w:val="00141ED3"/>
    <w:rsid w:val="00142321"/>
    <w:rsid w:val="001424B1"/>
    <w:rsid w:val="0014287C"/>
    <w:rsid w:val="001431C5"/>
    <w:rsid w:val="00143D75"/>
    <w:rsid w:val="0014556B"/>
    <w:rsid w:val="0015144A"/>
    <w:rsid w:val="00151E8C"/>
    <w:rsid w:val="001528D6"/>
    <w:rsid w:val="00156301"/>
    <w:rsid w:val="0015793E"/>
    <w:rsid w:val="00160E8D"/>
    <w:rsid w:val="00164A37"/>
    <w:rsid w:val="00165AD1"/>
    <w:rsid w:val="001661A2"/>
    <w:rsid w:val="00166224"/>
    <w:rsid w:val="00166971"/>
    <w:rsid w:val="001700F7"/>
    <w:rsid w:val="00170B7E"/>
    <w:rsid w:val="00172A27"/>
    <w:rsid w:val="00173B14"/>
    <w:rsid w:val="0017494D"/>
    <w:rsid w:val="001750BA"/>
    <w:rsid w:val="00175DA3"/>
    <w:rsid w:val="0017600C"/>
    <w:rsid w:val="001763AC"/>
    <w:rsid w:val="00177BD0"/>
    <w:rsid w:val="00180375"/>
    <w:rsid w:val="001825B3"/>
    <w:rsid w:val="00183680"/>
    <w:rsid w:val="00184893"/>
    <w:rsid w:val="001848E0"/>
    <w:rsid w:val="00186684"/>
    <w:rsid w:val="001903D6"/>
    <w:rsid w:val="0019096A"/>
    <w:rsid w:val="00190FD1"/>
    <w:rsid w:val="001922B3"/>
    <w:rsid w:val="00192EB0"/>
    <w:rsid w:val="001938A1"/>
    <w:rsid w:val="0019492A"/>
    <w:rsid w:val="00197F6B"/>
    <w:rsid w:val="001A23C6"/>
    <w:rsid w:val="001A2C37"/>
    <w:rsid w:val="001A3843"/>
    <w:rsid w:val="001A6D96"/>
    <w:rsid w:val="001A7772"/>
    <w:rsid w:val="001A7C8B"/>
    <w:rsid w:val="001B4161"/>
    <w:rsid w:val="001B7028"/>
    <w:rsid w:val="001B708D"/>
    <w:rsid w:val="001C0980"/>
    <w:rsid w:val="001C2517"/>
    <w:rsid w:val="001C422D"/>
    <w:rsid w:val="001C43F2"/>
    <w:rsid w:val="001C574D"/>
    <w:rsid w:val="001C5D56"/>
    <w:rsid w:val="001C75F2"/>
    <w:rsid w:val="001D17EB"/>
    <w:rsid w:val="001D3E8E"/>
    <w:rsid w:val="001D4C40"/>
    <w:rsid w:val="001D57AA"/>
    <w:rsid w:val="001D5AEC"/>
    <w:rsid w:val="001D62B2"/>
    <w:rsid w:val="001E0CBD"/>
    <w:rsid w:val="001E2FB2"/>
    <w:rsid w:val="001E315D"/>
    <w:rsid w:val="001E3DCA"/>
    <w:rsid w:val="001E4214"/>
    <w:rsid w:val="001E4379"/>
    <w:rsid w:val="001E4614"/>
    <w:rsid w:val="001E5213"/>
    <w:rsid w:val="001E61E5"/>
    <w:rsid w:val="001E7811"/>
    <w:rsid w:val="001E788A"/>
    <w:rsid w:val="001F0320"/>
    <w:rsid w:val="001F1953"/>
    <w:rsid w:val="001F2111"/>
    <w:rsid w:val="001F6BCE"/>
    <w:rsid w:val="001F6D35"/>
    <w:rsid w:val="001F7765"/>
    <w:rsid w:val="00201286"/>
    <w:rsid w:val="0020273E"/>
    <w:rsid w:val="00204057"/>
    <w:rsid w:val="00204981"/>
    <w:rsid w:val="002057BE"/>
    <w:rsid w:val="00206F6D"/>
    <w:rsid w:val="00210FFC"/>
    <w:rsid w:val="00211E89"/>
    <w:rsid w:val="0021296B"/>
    <w:rsid w:val="00212B68"/>
    <w:rsid w:val="00212FDF"/>
    <w:rsid w:val="002148A3"/>
    <w:rsid w:val="00215799"/>
    <w:rsid w:val="0021596C"/>
    <w:rsid w:val="0021640A"/>
    <w:rsid w:val="00216545"/>
    <w:rsid w:val="00216ED5"/>
    <w:rsid w:val="00217BA1"/>
    <w:rsid w:val="0022089F"/>
    <w:rsid w:val="00220965"/>
    <w:rsid w:val="002218FF"/>
    <w:rsid w:val="00221CE6"/>
    <w:rsid w:val="00221D43"/>
    <w:rsid w:val="0022385F"/>
    <w:rsid w:val="00223D1C"/>
    <w:rsid w:val="00224625"/>
    <w:rsid w:val="00224A6A"/>
    <w:rsid w:val="00226D90"/>
    <w:rsid w:val="00227AA4"/>
    <w:rsid w:val="00230635"/>
    <w:rsid w:val="00230C31"/>
    <w:rsid w:val="0023282C"/>
    <w:rsid w:val="0023647B"/>
    <w:rsid w:val="00236C09"/>
    <w:rsid w:val="002411C4"/>
    <w:rsid w:val="00241FA2"/>
    <w:rsid w:val="00242812"/>
    <w:rsid w:val="00242D06"/>
    <w:rsid w:val="0024391E"/>
    <w:rsid w:val="00243B80"/>
    <w:rsid w:val="002463C0"/>
    <w:rsid w:val="00247C6B"/>
    <w:rsid w:val="00250E85"/>
    <w:rsid w:val="0025147C"/>
    <w:rsid w:val="00252062"/>
    <w:rsid w:val="002523BA"/>
    <w:rsid w:val="00254A64"/>
    <w:rsid w:val="002554D5"/>
    <w:rsid w:val="00260900"/>
    <w:rsid w:val="00260AAB"/>
    <w:rsid w:val="0026107A"/>
    <w:rsid w:val="00261127"/>
    <w:rsid w:val="00261F58"/>
    <w:rsid w:val="00262FA8"/>
    <w:rsid w:val="00263593"/>
    <w:rsid w:val="00271B7A"/>
    <w:rsid w:val="0027246E"/>
    <w:rsid w:val="00272FF8"/>
    <w:rsid w:val="00274013"/>
    <w:rsid w:val="002753E4"/>
    <w:rsid w:val="00275D9A"/>
    <w:rsid w:val="002760C6"/>
    <w:rsid w:val="00281687"/>
    <w:rsid w:val="002816F1"/>
    <w:rsid w:val="00281D3C"/>
    <w:rsid w:val="00281DF8"/>
    <w:rsid w:val="002824D5"/>
    <w:rsid w:val="00283DB4"/>
    <w:rsid w:val="00284AB0"/>
    <w:rsid w:val="00284FEC"/>
    <w:rsid w:val="002864DA"/>
    <w:rsid w:val="00290789"/>
    <w:rsid w:val="002916D6"/>
    <w:rsid w:val="00293418"/>
    <w:rsid w:val="00295812"/>
    <w:rsid w:val="00295AA8"/>
    <w:rsid w:val="00296135"/>
    <w:rsid w:val="00296BE4"/>
    <w:rsid w:val="002A1DF4"/>
    <w:rsid w:val="002A32BB"/>
    <w:rsid w:val="002A450D"/>
    <w:rsid w:val="002A6E7D"/>
    <w:rsid w:val="002B1988"/>
    <w:rsid w:val="002B2AEA"/>
    <w:rsid w:val="002B442E"/>
    <w:rsid w:val="002B5457"/>
    <w:rsid w:val="002B64BE"/>
    <w:rsid w:val="002B65C5"/>
    <w:rsid w:val="002C0D74"/>
    <w:rsid w:val="002C2881"/>
    <w:rsid w:val="002C293A"/>
    <w:rsid w:val="002C3465"/>
    <w:rsid w:val="002C4166"/>
    <w:rsid w:val="002C45EB"/>
    <w:rsid w:val="002C462C"/>
    <w:rsid w:val="002C47C3"/>
    <w:rsid w:val="002C7004"/>
    <w:rsid w:val="002C7039"/>
    <w:rsid w:val="002C78EA"/>
    <w:rsid w:val="002D0557"/>
    <w:rsid w:val="002D1441"/>
    <w:rsid w:val="002D1CB0"/>
    <w:rsid w:val="002D2024"/>
    <w:rsid w:val="002D21EC"/>
    <w:rsid w:val="002D285B"/>
    <w:rsid w:val="002D33D7"/>
    <w:rsid w:val="002D697C"/>
    <w:rsid w:val="002D7370"/>
    <w:rsid w:val="002E1AA9"/>
    <w:rsid w:val="002E1E2B"/>
    <w:rsid w:val="002E6FCF"/>
    <w:rsid w:val="002E7777"/>
    <w:rsid w:val="002F0B6A"/>
    <w:rsid w:val="002F0C23"/>
    <w:rsid w:val="002F2936"/>
    <w:rsid w:val="002F36C0"/>
    <w:rsid w:val="002F3850"/>
    <w:rsid w:val="002F47D5"/>
    <w:rsid w:val="002F58A9"/>
    <w:rsid w:val="002F5C5A"/>
    <w:rsid w:val="002F6ED4"/>
    <w:rsid w:val="002F7B8E"/>
    <w:rsid w:val="0030010B"/>
    <w:rsid w:val="003001F4"/>
    <w:rsid w:val="0030352D"/>
    <w:rsid w:val="00304277"/>
    <w:rsid w:val="00304517"/>
    <w:rsid w:val="003049E8"/>
    <w:rsid w:val="00306CBC"/>
    <w:rsid w:val="00306FEC"/>
    <w:rsid w:val="003075C7"/>
    <w:rsid w:val="003111BB"/>
    <w:rsid w:val="0031179A"/>
    <w:rsid w:val="00313051"/>
    <w:rsid w:val="0031706A"/>
    <w:rsid w:val="00317159"/>
    <w:rsid w:val="00317681"/>
    <w:rsid w:val="00320410"/>
    <w:rsid w:val="00321397"/>
    <w:rsid w:val="0032192D"/>
    <w:rsid w:val="00321A92"/>
    <w:rsid w:val="00322A88"/>
    <w:rsid w:val="00324F43"/>
    <w:rsid w:val="00326A47"/>
    <w:rsid w:val="00327587"/>
    <w:rsid w:val="0033017C"/>
    <w:rsid w:val="00331F7D"/>
    <w:rsid w:val="00333658"/>
    <w:rsid w:val="003337D2"/>
    <w:rsid w:val="00333C15"/>
    <w:rsid w:val="003340DE"/>
    <w:rsid w:val="00335CED"/>
    <w:rsid w:val="003400C2"/>
    <w:rsid w:val="003405F5"/>
    <w:rsid w:val="003406FF"/>
    <w:rsid w:val="0034108D"/>
    <w:rsid w:val="003416FC"/>
    <w:rsid w:val="00344E4E"/>
    <w:rsid w:val="00345C05"/>
    <w:rsid w:val="003467B5"/>
    <w:rsid w:val="00347957"/>
    <w:rsid w:val="00351C3E"/>
    <w:rsid w:val="00351C53"/>
    <w:rsid w:val="0035223E"/>
    <w:rsid w:val="003538E9"/>
    <w:rsid w:val="00353C36"/>
    <w:rsid w:val="00353E9A"/>
    <w:rsid w:val="0036195A"/>
    <w:rsid w:val="00361AD8"/>
    <w:rsid w:val="00362CBF"/>
    <w:rsid w:val="00362ECB"/>
    <w:rsid w:val="00363208"/>
    <w:rsid w:val="003647B1"/>
    <w:rsid w:val="0036572B"/>
    <w:rsid w:val="0036697B"/>
    <w:rsid w:val="0036744D"/>
    <w:rsid w:val="00367B94"/>
    <w:rsid w:val="003703A0"/>
    <w:rsid w:val="00370491"/>
    <w:rsid w:val="003715E5"/>
    <w:rsid w:val="00375E61"/>
    <w:rsid w:val="00376F00"/>
    <w:rsid w:val="00377D71"/>
    <w:rsid w:val="003803DE"/>
    <w:rsid w:val="00381014"/>
    <w:rsid w:val="0038298D"/>
    <w:rsid w:val="00386DD7"/>
    <w:rsid w:val="0038730C"/>
    <w:rsid w:val="00387537"/>
    <w:rsid w:val="00387BD0"/>
    <w:rsid w:val="0039124B"/>
    <w:rsid w:val="003916B9"/>
    <w:rsid w:val="00391786"/>
    <w:rsid w:val="00391ABA"/>
    <w:rsid w:val="00392341"/>
    <w:rsid w:val="00394CEF"/>
    <w:rsid w:val="00395892"/>
    <w:rsid w:val="00395CCE"/>
    <w:rsid w:val="003970DB"/>
    <w:rsid w:val="003972C8"/>
    <w:rsid w:val="00397D99"/>
    <w:rsid w:val="003A0C22"/>
    <w:rsid w:val="003A2220"/>
    <w:rsid w:val="003A3B68"/>
    <w:rsid w:val="003A4DA2"/>
    <w:rsid w:val="003A56A8"/>
    <w:rsid w:val="003A5CA3"/>
    <w:rsid w:val="003A7607"/>
    <w:rsid w:val="003A799B"/>
    <w:rsid w:val="003B112C"/>
    <w:rsid w:val="003B1877"/>
    <w:rsid w:val="003B2087"/>
    <w:rsid w:val="003B231B"/>
    <w:rsid w:val="003B3430"/>
    <w:rsid w:val="003B3EFA"/>
    <w:rsid w:val="003B6CAE"/>
    <w:rsid w:val="003B700F"/>
    <w:rsid w:val="003C43DE"/>
    <w:rsid w:val="003C5B54"/>
    <w:rsid w:val="003D0727"/>
    <w:rsid w:val="003D1F07"/>
    <w:rsid w:val="003D32EC"/>
    <w:rsid w:val="003D5F12"/>
    <w:rsid w:val="003D618F"/>
    <w:rsid w:val="003D6C47"/>
    <w:rsid w:val="003E05A6"/>
    <w:rsid w:val="003E0973"/>
    <w:rsid w:val="003E0DB3"/>
    <w:rsid w:val="003E32D3"/>
    <w:rsid w:val="003E32F2"/>
    <w:rsid w:val="003E587A"/>
    <w:rsid w:val="003E5F7B"/>
    <w:rsid w:val="003E7E0D"/>
    <w:rsid w:val="003F04FF"/>
    <w:rsid w:val="003F1C61"/>
    <w:rsid w:val="003F2549"/>
    <w:rsid w:val="003F3CCB"/>
    <w:rsid w:val="003F3FD9"/>
    <w:rsid w:val="003F6F88"/>
    <w:rsid w:val="003F753D"/>
    <w:rsid w:val="00401B39"/>
    <w:rsid w:val="00401B7B"/>
    <w:rsid w:val="0040395A"/>
    <w:rsid w:val="00403D4E"/>
    <w:rsid w:val="0040689E"/>
    <w:rsid w:val="004101E1"/>
    <w:rsid w:val="00410931"/>
    <w:rsid w:val="00411727"/>
    <w:rsid w:val="00413089"/>
    <w:rsid w:val="0041437A"/>
    <w:rsid w:val="00414854"/>
    <w:rsid w:val="004152C6"/>
    <w:rsid w:val="00415353"/>
    <w:rsid w:val="00415926"/>
    <w:rsid w:val="0041752F"/>
    <w:rsid w:val="00420067"/>
    <w:rsid w:val="004209C4"/>
    <w:rsid w:val="004226CD"/>
    <w:rsid w:val="004255FE"/>
    <w:rsid w:val="00431695"/>
    <w:rsid w:val="00431AB2"/>
    <w:rsid w:val="004327BD"/>
    <w:rsid w:val="00432B56"/>
    <w:rsid w:val="00434280"/>
    <w:rsid w:val="00434DB3"/>
    <w:rsid w:val="004365B9"/>
    <w:rsid w:val="0043693F"/>
    <w:rsid w:val="004378FB"/>
    <w:rsid w:val="0044043F"/>
    <w:rsid w:val="004408A8"/>
    <w:rsid w:val="00442A8A"/>
    <w:rsid w:val="004435A5"/>
    <w:rsid w:val="004447D1"/>
    <w:rsid w:val="00444B95"/>
    <w:rsid w:val="00450D26"/>
    <w:rsid w:val="004510A7"/>
    <w:rsid w:val="00452929"/>
    <w:rsid w:val="0045342B"/>
    <w:rsid w:val="0045356C"/>
    <w:rsid w:val="00453C11"/>
    <w:rsid w:val="00453CAE"/>
    <w:rsid w:val="00455713"/>
    <w:rsid w:val="0045630B"/>
    <w:rsid w:val="004577BB"/>
    <w:rsid w:val="00457BDF"/>
    <w:rsid w:val="00462CB0"/>
    <w:rsid w:val="0046503F"/>
    <w:rsid w:val="00465072"/>
    <w:rsid w:val="0046644C"/>
    <w:rsid w:val="00470770"/>
    <w:rsid w:val="00470838"/>
    <w:rsid w:val="0047222E"/>
    <w:rsid w:val="004728D5"/>
    <w:rsid w:val="00473DBA"/>
    <w:rsid w:val="00473EA3"/>
    <w:rsid w:val="00475117"/>
    <w:rsid w:val="00480445"/>
    <w:rsid w:val="00481890"/>
    <w:rsid w:val="00482398"/>
    <w:rsid w:val="00482FC0"/>
    <w:rsid w:val="0048357F"/>
    <w:rsid w:val="00483CEF"/>
    <w:rsid w:val="00483D8E"/>
    <w:rsid w:val="00484862"/>
    <w:rsid w:val="00485282"/>
    <w:rsid w:val="004867EE"/>
    <w:rsid w:val="00487943"/>
    <w:rsid w:val="00487E05"/>
    <w:rsid w:val="00490021"/>
    <w:rsid w:val="0049331E"/>
    <w:rsid w:val="0049371A"/>
    <w:rsid w:val="00493AA8"/>
    <w:rsid w:val="00494948"/>
    <w:rsid w:val="004957CC"/>
    <w:rsid w:val="00496030"/>
    <w:rsid w:val="00496631"/>
    <w:rsid w:val="004A188A"/>
    <w:rsid w:val="004A2B1A"/>
    <w:rsid w:val="004A3EC6"/>
    <w:rsid w:val="004A508C"/>
    <w:rsid w:val="004A589F"/>
    <w:rsid w:val="004A63D8"/>
    <w:rsid w:val="004A78A0"/>
    <w:rsid w:val="004B0447"/>
    <w:rsid w:val="004B15DE"/>
    <w:rsid w:val="004B356E"/>
    <w:rsid w:val="004B3A15"/>
    <w:rsid w:val="004B5177"/>
    <w:rsid w:val="004B543E"/>
    <w:rsid w:val="004B6FE6"/>
    <w:rsid w:val="004B7543"/>
    <w:rsid w:val="004C0111"/>
    <w:rsid w:val="004C05F5"/>
    <w:rsid w:val="004C2184"/>
    <w:rsid w:val="004C26A1"/>
    <w:rsid w:val="004C2D4A"/>
    <w:rsid w:val="004C34AE"/>
    <w:rsid w:val="004C6366"/>
    <w:rsid w:val="004C6BBB"/>
    <w:rsid w:val="004C746A"/>
    <w:rsid w:val="004D2888"/>
    <w:rsid w:val="004D4767"/>
    <w:rsid w:val="004D77BD"/>
    <w:rsid w:val="004D7A62"/>
    <w:rsid w:val="004D7FC5"/>
    <w:rsid w:val="004E0B41"/>
    <w:rsid w:val="004E1A4E"/>
    <w:rsid w:val="004E1C82"/>
    <w:rsid w:val="004E222C"/>
    <w:rsid w:val="004E2EE1"/>
    <w:rsid w:val="004E4CE1"/>
    <w:rsid w:val="004E5D3D"/>
    <w:rsid w:val="004E62AF"/>
    <w:rsid w:val="004F10A2"/>
    <w:rsid w:val="004F14A5"/>
    <w:rsid w:val="004F1C58"/>
    <w:rsid w:val="004F3C40"/>
    <w:rsid w:val="004F47FE"/>
    <w:rsid w:val="004F4F3D"/>
    <w:rsid w:val="004F531F"/>
    <w:rsid w:val="004F55BB"/>
    <w:rsid w:val="004F6AE1"/>
    <w:rsid w:val="004F75AB"/>
    <w:rsid w:val="0050172F"/>
    <w:rsid w:val="00501EC7"/>
    <w:rsid w:val="0050302D"/>
    <w:rsid w:val="0050311B"/>
    <w:rsid w:val="005051F4"/>
    <w:rsid w:val="0050759B"/>
    <w:rsid w:val="00507DF8"/>
    <w:rsid w:val="005101B9"/>
    <w:rsid w:val="0051117F"/>
    <w:rsid w:val="0051172B"/>
    <w:rsid w:val="00511A76"/>
    <w:rsid w:val="0051387C"/>
    <w:rsid w:val="00515C80"/>
    <w:rsid w:val="00516F97"/>
    <w:rsid w:val="00520EC5"/>
    <w:rsid w:val="00520F9D"/>
    <w:rsid w:val="0052199F"/>
    <w:rsid w:val="005223B0"/>
    <w:rsid w:val="00526E09"/>
    <w:rsid w:val="0053215A"/>
    <w:rsid w:val="005337BC"/>
    <w:rsid w:val="00534421"/>
    <w:rsid w:val="005350AA"/>
    <w:rsid w:val="00535C37"/>
    <w:rsid w:val="0053667F"/>
    <w:rsid w:val="005370FC"/>
    <w:rsid w:val="00537448"/>
    <w:rsid w:val="0053747F"/>
    <w:rsid w:val="0054047D"/>
    <w:rsid w:val="0054092C"/>
    <w:rsid w:val="00544AF3"/>
    <w:rsid w:val="00546582"/>
    <w:rsid w:val="00547D05"/>
    <w:rsid w:val="00547D25"/>
    <w:rsid w:val="00551B1F"/>
    <w:rsid w:val="00552D60"/>
    <w:rsid w:val="00553937"/>
    <w:rsid w:val="00553A4C"/>
    <w:rsid w:val="00553BAF"/>
    <w:rsid w:val="005548A6"/>
    <w:rsid w:val="005556B8"/>
    <w:rsid w:val="00555CA6"/>
    <w:rsid w:val="00555E14"/>
    <w:rsid w:val="005567FE"/>
    <w:rsid w:val="00556DE0"/>
    <w:rsid w:val="00556E58"/>
    <w:rsid w:val="005626E9"/>
    <w:rsid w:val="0056341F"/>
    <w:rsid w:val="00564D56"/>
    <w:rsid w:val="00566E01"/>
    <w:rsid w:val="005670E5"/>
    <w:rsid w:val="00567310"/>
    <w:rsid w:val="0057105E"/>
    <w:rsid w:val="00573B64"/>
    <w:rsid w:val="00574CBD"/>
    <w:rsid w:val="0057549A"/>
    <w:rsid w:val="00576F99"/>
    <w:rsid w:val="00577EC6"/>
    <w:rsid w:val="00577F33"/>
    <w:rsid w:val="00580162"/>
    <w:rsid w:val="005801B2"/>
    <w:rsid w:val="00582F62"/>
    <w:rsid w:val="00583361"/>
    <w:rsid w:val="00583A06"/>
    <w:rsid w:val="005846AC"/>
    <w:rsid w:val="005854C7"/>
    <w:rsid w:val="00586056"/>
    <w:rsid w:val="00587002"/>
    <w:rsid w:val="005875A0"/>
    <w:rsid w:val="0059017D"/>
    <w:rsid w:val="0059098B"/>
    <w:rsid w:val="00591409"/>
    <w:rsid w:val="00592446"/>
    <w:rsid w:val="005944AE"/>
    <w:rsid w:val="00596CED"/>
    <w:rsid w:val="005972AD"/>
    <w:rsid w:val="00597620"/>
    <w:rsid w:val="0059776E"/>
    <w:rsid w:val="005A0D1D"/>
    <w:rsid w:val="005A2B50"/>
    <w:rsid w:val="005A428C"/>
    <w:rsid w:val="005A4AF5"/>
    <w:rsid w:val="005A51EA"/>
    <w:rsid w:val="005A6275"/>
    <w:rsid w:val="005A6804"/>
    <w:rsid w:val="005A691B"/>
    <w:rsid w:val="005A7E94"/>
    <w:rsid w:val="005B2388"/>
    <w:rsid w:val="005B32C8"/>
    <w:rsid w:val="005B6776"/>
    <w:rsid w:val="005B6864"/>
    <w:rsid w:val="005C07D4"/>
    <w:rsid w:val="005C0A4B"/>
    <w:rsid w:val="005C5880"/>
    <w:rsid w:val="005C5ED7"/>
    <w:rsid w:val="005C662C"/>
    <w:rsid w:val="005C734D"/>
    <w:rsid w:val="005C7F62"/>
    <w:rsid w:val="005D211D"/>
    <w:rsid w:val="005D4150"/>
    <w:rsid w:val="005D418A"/>
    <w:rsid w:val="005D6320"/>
    <w:rsid w:val="005E1576"/>
    <w:rsid w:val="005E2682"/>
    <w:rsid w:val="005E2BB0"/>
    <w:rsid w:val="005E4044"/>
    <w:rsid w:val="005E47F3"/>
    <w:rsid w:val="005E5108"/>
    <w:rsid w:val="005E5C77"/>
    <w:rsid w:val="005E6457"/>
    <w:rsid w:val="005E6EAF"/>
    <w:rsid w:val="005F0A8D"/>
    <w:rsid w:val="005F14A1"/>
    <w:rsid w:val="005F282C"/>
    <w:rsid w:val="005F28D5"/>
    <w:rsid w:val="005F2B7A"/>
    <w:rsid w:val="005F2C8E"/>
    <w:rsid w:val="005F3621"/>
    <w:rsid w:val="005F4235"/>
    <w:rsid w:val="005F43E9"/>
    <w:rsid w:val="005F46D2"/>
    <w:rsid w:val="005F4BA9"/>
    <w:rsid w:val="005F5FAC"/>
    <w:rsid w:val="006050AB"/>
    <w:rsid w:val="00605377"/>
    <w:rsid w:val="006059B6"/>
    <w:rsid w:val="00606A5B"/>
    <w:rsid w:val="0061000B"/>
    <w:rsid w:val="00610A22"/>
    <w:rsid w:val="006122E3"/>
    <w:rsid w:val="00613F22"/>
    <w:rsid w:val="0061647C"/>
    <w:rsid w:val="006175D8"/>
    <w:rsid w:val="0062167C"/>
    <w:rsid w:val="00622C7B"/>
    <w:rsid w:val="006256B9"/>
    <w:rsid w:val="00627ACF"/>
    <w:rsid w:val="00627B0D"/>
    <w:rsid w:val="00630E0C"/>
    <w:rsid w:val="00631C04"/>
    <w:rsid w:val="00633EB8"/>
    <w:rsid w:val="006346C3"/>
    <w:rsid w:val="00634BFA"/>
    <w:rsid w:val="00634EA3"/>
    <w:rsid w:val="00636502"/>
    <w:rsid w:val="006367FF"/>
    <w:rsid w:val="00637F09"/>
    <w:rsid w:val="00640014"/>
    <w:rsid w:val="006420F0"/>
    <w:rsid w:val="006422A5"/>
    <w:rsid w:val="00642D98"/>
    <w:rsid w:val="0064344F"/>
    <w:rsid w:val="006463DF"/>
    <w:rsid w:val="006529F5"/>
    <w:rsid w:val="00656F26"/>
    <w:rsid w:val="006601BE"/>
    <w:rsid w:val="0066314F"/>
    <w:rsid w:val="0066359E"/>
    <w:rsid w:val="00664D03"/>
    <w:rsid w:val="006664C8"/>
    <w:rsid w:val="006664DE"/>
    <w:rsid w:val="006676ED"/>
    <w:rsid w:val="00672B93"/>
    <w:rsid w:val="006735BD"/>
    <w:rsid w:val="006743B1"/>
    <w:rsid w:val="00675158"/>
    <w:rsid w:val="00675212"/>
    <w:rsid w:val="0068005B"/>
    <w:rsid w:val="006817B9"/>
    <w:rsid w:val="00683C82"/>
    <w:rsid w:val="00684D07"/>
    <w:rsid w:val="00685358"/>
    <w:rsid w:val="0068723D"/>
    <w:rsid w:val="00690F82"/>
    <w:rsid w:val="006919C8"/>
    <w:rsid w:val="00692C60"/>
    <w:rsid w:val="006936F0"/>
    <w:rsid w:val="006965D3"/>
    <w:rsid w:val="006A0F48"/>
    <w:rsid w:val="006A1B43"/>
    <w:rsid w:val="006A2504"/>
    <w:rsid w:val="006A294E"/>
    <w:rsid w:val="006A443F"/>
    <w:rsid w:val="006A4EF0"/>
    <w:rsid w:val="006A5292"/>
    <w:rsid w:val="006A56CE"/>
    <w:rsid w:val="006A59B2"/>
    <w:rsid w:val="006A6C94"/>
    <w:rsid w:val="006A7396"/>
    <w:rsid w:val="006B1F07"/>
    <w:rsid w:val="006B4133"/>
    <w:rsid w:val="006B4341"/>
    <w:rsid w:val="006B46AC"/>
    <w:rsid w:val="006B56C6"/>
    <w:rsid w:val="006B688C"/>
    <w:rsid w:val="006B6D18"/>
    <w:rsid w:val="006B7256"/>
    <w:rsid w:val="006C0E20"/>
    <w:rsid w:val="006C0E33"/>
    <w:rsid w:val="006C0F1F"/>
    <w:rsid w:val="006C12A3"/>
    <w:rsid w:val="006C4F14"/>
    <w:rsid w:val="006D1D68"/>
    <w:rsid w:val="006D2190"/>
    <w:rsid w:val="006E0691"/>
    <w:rsid w:val="006E1823"/>
    <w:rsid w:val="006E60FD"/>
    <w:rsid w:val="006E62A9"/>
    <w:rsid w:val="006F241B"/>
    <w:rsid w:val="006F3E2F"/>
    <w:rsid w:val="006F4045"/>
    <w:rsid w:val="006F491D"/>
    <w:rsid w:val="006F5B44"/>
    <w:rsid w:val="006F5BDC"/>
    <w:rsid w:val="006F67A2"/>
    <w:rsid w:val="0070030E"/>
    <w:rsid w:val="00702A3A"/>
    <w:rsid w:val="00702CDB"/>
    <w:rsid w:val="00703A59"/>
    <w:rsid w:val="00703DFD"/>
    <w:rsid w:val="00704BB3"/>
    <w:rsid w:val="00704CE5"/>
    <w:rsid w:val="00704E82"/>
    <w:rsid w:val="00706539"/>
    <w:rsid w:val="00706669"/>
    <w:rsid w:val="00706EB4"/>
    <w:rsid w:val="007106F1"/>
    <w:rsid w:val="00712287"/>
    <w:rsid w:val="007123BA"/>
    <w:rsid w:val="00712A4C"/>
    <w:rsid w:val="00712FC9"/>
    <w:rsid w:val="007134A8"/>
    <w:rsid w:val="0071441E"/>
    <w:rsid w:val="0071541A"/>
    <w:rsid w:val="00717AF0"/>
    <w:rsid w:val="00720E8B"/>
    <w:rsid w:val="00720EA8"/>
    <w:rsid w:val="00721379"/>
    <w:rsid w:val="007217CC"/>
    <w:rsid w:val="007245A5"/>
    <w:rsid w:val="00724B26"/>
    <w:rsid w:val="00725494"/>
    <w:rsid w:val="00730370"/>
    <w:rsid w:val="00731412"/>
    <w:rsid w:val="007346A1"/>
    <w:rsid w:val="00734928"/>
    <w:rsid w:val="007362CD"/>
    <w:rsid w:val="00736FF8"/>
    <w:rsid w:val="007373F6"/>
    <w:rsid w:val="007375FC"/>
    <w:rsid w:val="007424A7"/>
    <w:rsid w:val="007436B0"/>
    <w:rsid w:val="00743E6C"/>
    <w:rsid w:val="00745287"/>
    <w:rsid w:val="00746583"/>
    <w:rsid w:val="0075121D"/>
    <w:rsid w:val="007523DA"/>
    <w:rsid w:val="007537AB"/>
    <w:rsid w:val="007569EC"/>
    <w:rsid w:val="0076213E"/>
    <w:rsid w:val="0076317A"/>
    <w:rsid w:val="00763AB7"/>
    <w:rsid w:val="00764444"/>
    <w:rsid w:val="00765140"/>
    <w:rsid w:val="0076585A"/>
    <w:rsid w:val="00770479"/>
    <w:rsid w:val="007715E1"/>
    <w:rsid w:val="00772FDB"/>
    <w:rsid w:val="007730FA"/>
    <w:rsid w:val="00773929"/>
    <w:rsid w:val="00773F56"/>
    <w:rsid w:val="007743DA"/>
    <w:rsid w:val="007748CE"/>
    <w:rsid w:val="00774BF4"/>
    <w:rsid w:val="0077659B"/>
    <w:rsid w:val="00777F44"/>
    <w:rsid w:val="00783384"/>
    <w:rsid w:val="00784361"/>
    <w:rsid w:val="00785367"/>
    <w:rsid w:val="00786B2B"/>
    <w:rsid w:val="007870EA"/>
    <w:rsid w:val="0078759E"/>
    <w:rsid w:val="00790B29"/>
    <w:rsid w:val="00792098"/>
    <w:rsid w:val="0079381F"/>
    <w:rsid w:val="007946B2"/>
    <w:rsid w:val="0079506A"/>
    <w:rsid w:val="00795176"/>
    <w:rsid w:val="00796A6C"/>
    <w:rsid w:val="007A02A7"/>
    <w:rsid w:val="007A26B6"/>
    <w:rsid w:val="007A3190"/>
    <w:rsid w:val="007A57C9"/>
    <w:rsid w:val="007A5F44"/>
    <w:rsid w:val="007A620C"/>
    <w:rsid w:val="007A7574"/>
    <w:rsid w:val="007A79DB"/>
    <w:rsid w:val="007A7F20"/>
    <w:rsid w:val="007B3167"/>
    <w:rsid w:val="007B373F"/>
    <w:rsid w:val="007B4E99"/>
    <w:rsid w:val="007B6744"/>
    <w:rsid w:val="007B72F9"/>
    <w:rsid w:val="007C1203"/>
    <w:rsid w:val="007C2530"/>
    <w:rsid w:val="007C285A"/>
    <w:rsid w:val="007C480E"/>
    <w:rsid w:val="007C48C3"/>
    <w:rsid w:val="007C4C93"/>
    <w:rsid w:val="007C7ADD"/>
    <w:rsid w:val="007C7EF5"/>
    <w:rsid w:val="007D022C"/>
    <w:rsid w:val="007D0FEC"/>
    <w:rsid w:val="007D1BE4"/>
    <w:rsid w:val="007D36D4"/>
    <w:rsid w:val="007D3E99"/>
    <w:rsid w:val="007D499B"/>
    <w:rsid w:val="007D5F3E"/>
    <w:rsid w:val="007D6913"/>
    <w:rsid w:val="007D69B7"/>
    <w:rsid w:val="007E0DCD"/>
    <w:rsid w:val="007E1486"/>
    <w:rsid w:val="007E215E"/>
    <w:rsid w:val="007E366C"/>
    <w:rsid w:val="007E3C18"/>
    <w:rsid w:val="007E4A03"/>
    <w:rsid w:val="007E4A39"/>
    <w:rsid w:val="007E5AD7"/>
    <w:rsid w:val="007E5D5A"/>
    <w:rsid w:val="007E636C"/>
    <w:rsid w:val="007E7347"/>
    <w:rsid w:val="007F0E20"/>
    <w:rsid w:val="007F1A2A"/>
    <w:rsid w:val="007F2AE5"/>
    <w:rsid w:val="007F4668"/>
    <w:rsid w:val="007F5A43"/>
    <w:rsid w:val="007F738A"/>
    <w:rsid w:val="00801A5F"/>
    <w:rsid w:val="00804D4C"/>
    <w:rsid w:val="0080610F"/>
    <w:rsid w:val="00806EE7"/>
    <w:rsid w:val="0080725E"/>
    <w:rsid w:val="0081068A"/>
    <w:rsid w:val="0081338E"/>
    <w:rsid w:val="008134F0"/>
    <w:rsid w:val="008142C2"/>
    <w:rsid w:val="00814EFC"/>
    <w:rsid w:val="00817661"/>
    <w:rsid w:val="00817B2F"/>
    <w:rsid w:val="008206FE"/>
    <w:rsid w:val="00822002"/>
    <w:rsid w:val="00822968"/>
    <w:rsid w:val="00822DD6"/>
    <w:rsid w:val="008238B5"/>
    <w:rsid w:val="008276F5"/>
    <w:rsid w:val="00827CDC"/>
    <w:rsid w:val="0083329A"/>
    <w:rsid w:val="00834F0D"/>
    <w:rsid w:val="00834F5A"/>
    <w:rsid w:val="00836509"/>
    <w:rsid w:val="00840ADF"/>
    <w:rsid w:val="008413C8"/>
    <w:rsid w:val="0084170F"/>
    <w:rsid w:val="008446B4"/>
    <w:rsid w:val="00844E49"/>
    <w:rsid w:val="00847B9C"/>
    <w:rsid w:val="00850C55"/>
    <w:rsid w:val="00851499"/>
    <w:rsid w:val="00851537"/>
    <w:rsid w:val="00851E09"/>
    <w:rsid w:val="00852057"/>
    <w:rsid w:val="00852929"/>
    <w:rsid w:val="00853476"/>
    <w:rsid w:val="0085497D"/>
    <w:rsid w:val="00856951"/>
    <w:rsid w:val="00856E6E"/>
    <w:rsid w:val="0086037D"/>
    <w:rsid w:val="00860F9D"/>
    <w:rsid w:val="00861095"/>
    <w:rsid w:val="0086649F"/>
    <w:rsid w:val="00867B12"/>
    <w:rsid w:val="00867CDF"/>
    <w:rsid w:val="0087132D"/>
    <w:rsid w:val="00871999"/>
    <w:rsid w:val="00872F52"/>
    <w:rsid w:val="00873708"/>
    <w:rsid w:val="00873986"/>
    <w:rsid w:val="008770AC"/>
    <w:rsid w:val="00882525"/>
    <w:rsid w:val="00882DF7"/>
    <w:rsid w:val="00884E6B"/>
    <w:rsid w:val="00890AFB"/>
    <w:rsid w:val="00890E74"/>
    <w:rsid w:val="0089197E"/>
    <w:rsid w:val="00893CF8"/>
    <w:rsid w:val="00893F45"/>
    <w:rsid w:val="0089552B"/>
    <w:rsid w:val="008957B8"/>
    <w:rsid w:val="00895A3E"/>
    <w:rsid w:val="008967D1"/>
    <w:rsid w:val="008A0CF7"/>
    <w:rsid w:val="008A12F9"/>
    <w:rsid w:val="008A3C69"/>
    <w:rsid w:val="008A6C79"/>
    <w:rsid w:val="008A70C3"/>
    <w:rsid w:val="008A7BFF"/>
    <w:rsid w:val="008B07CC"/>
    <w:rsid w:val="008B36F5"/>
    <w:rsid w:val="008B3FD5"/>
    <w:rsid w:val="008B49E4"/>
    <w:rsid w:val="008B6242"/>
    <w:rsid w:val="008B6FDA"/>
    <w:rsid w:val="008C0F69"/>
    <w:rsid w:val="008C1925"/>
    <w:rsid w:val="008C1F48"/>
    <w:rsid w:val="008C269A"/>
    <w:rsid w:val="008C5085"/>
    <w:rsid w:val="008C56F7"/>
    <w:rsid w:val="008C6C8A"/>
    <w:rsid w:val="008C7A2A"/>
    <w:rsid w:val="008C7EFC"/>
    <w:rsid w:val="008D1015"/>
    <w:rsid w:val="008D10DA"/>
    <w:rsid w:val="008D1984"/>
    <w:rsid w:val="008D2C1E"/>
    <w:rsid w:val="008D430C"/>
    <w:rsid w:val="008D44A7"/>
    <w:rsid w:val="008D5D55"/>
    <w:rsid w:val="008D600C"/>
    <w:rsid w:val="008E1CFD"/>
    <w:rsid w:val="008E22BD"/>
    <w:rsid w:val="008E2B64"/>
    <w:rsid w:val="008E3399"/>
    <w:rsid w:val="008E3545"/>
    <w:rsid w:val="008E52DE"/>
    <w:rsid w:val="008E5C31"/>
    <w:rsid w:val="008F02E6"/>
    <w:rsid w:val="008F0A34"/>
    <w:rsid w:val="008F242F"/>
    <w:rsid w:val="008F2782"/>
    <w:rsid w:val="008F31DA"/>
    <w:rsid w:val="008F3F85"/>
    <w:rsid w:val="008F75FE"/>
    <w:rsid w:val="008F7FCA"/>
    <w:rsid w:val="00900790"/>
    <w:rsid w:val="00901830"/>
    <w:rsid w:val="00901BE0"/>
    <w:rsid w:val="00901FEF"/>
    <w:rsid w:val="009035E5"/>
    <w:rsid w:val="00903614"/>
    <w:rsid w:val="00903D9C"/>
    <w:rsid w:val="0090590F"/>
    <w:rsid w:val="00906E3E"/>
    <w:rsid w:val="00907AF2"/>
    <w:rsid w:val="00907B5C"/>
    <w:rsid w:val="00907E89"/>
    <w:rsid w:val="00911258"/>
    <w:rsid w:val="00912E83"/>
    <w:rsid w:val="009139C1"/>
    <w:rsid w:val="009140B1"/>
    <w:rsid w:val="0091514D"/>
    <w:rsid w:val="00915706"/>
    <w:rsid w:val="00916C5C"/>
    <w:rsid w:val="00916FC8"/>
    <w:rsid w:val="00917825"/>
    <w:rsid w:val="00920B91"/>
    <w:rsid w:val="00924519"/>
    <w:rsid w:val="00925861"/>
    <w:rsid w:val="00927290"/>
    <w:rsid w:val="009272A6"/>
    <w:rsid w:val="0093090F"/>
    <w:rsid w:val="009315BF"/>
    <w:rsid w:val="00931F43"/>
    <w:rsid w:val="00933BBE"/>
    <w:rsid w:val="0093502A"/>
    <w:rsid w:val="00937BA3"/>
    <w:rsid w:val="00940BC8"/>
    <w:rsid w:val="00940FA8"/>
    <w:rsid w:val="009415E3"/>
    <w:rsid w:val="00942CE5"/>
    <w:rsid w:val="00943CC2"/>
    <w:rsid w:val="009448AB"/>
    <w:rsid w:val="00944EAA"/>
    <w:rsid w:val="009459B9"/>
    <w:rsid w:val="00950F2F"/>
    <w:rsid w:val="009515D2"/>
    <w:rsid w:val="00951F04"/>
    <w:rsid w:val="00953B40"/>
    <w:rsid w:val="00954F55"/>
    <w:rsid w:val="0095581C"/>
    <w:rsid w:val="00955C81"/>
    <w:rsid w:val="0095796E"/>
    <w:rsid w:val="009601A7"/>
    <w:rsid w:val="0096093A"/>
    <w:rsid w:val="00961F04"/>
    <w:rsid w:val="009622C7"/>
    <w:rsid w:val="00962645"/>
    <w:rsid w:val="009636F2"/>
    <w:rsid w:val="00964009"/>
    <w:rsid w:val="009646D6"/>
    <w:rsid w:val="00964D18"/>
    <w:rsid w:val="00965382"/>
    <w:rsid w:val="00973A6A"/>
    <w:rsid w:val="00973DEE"/>
    <w:rsid w:val="00974BB2"/>
    <w:rsid w:val="00975454"/>
    <w:rsid w:val="00975E14"/>
    <w:rsid w:val="009819F5"/>
    <w:rsid w:val="0098208C"/>
    <w:rsid w:val="00982BD4"/>
    <w:rsid w:val="009835BA"/>
    <w:rsid w:val="009843A9"/>
    <w:rsid w:val="00990942"/>
    <w:rsid w:val="00992AE7"/>
    <w:rsid w:val="00994576"/>
    <w:rsid w:val="00995104"/>
    <w:rsid w:val="00995BFD"/>
    <w:rsid w:val="00997BFF"/>
    <w:rsid w:val="009A14D4"/>
    <w:rsid w:val="009A2AC4"/>
    <w:rsid w:val="009A313D"/>
    <w:rsid w:val="009A355B"/>
    <w:rsid w:val="009A411E"/>
    <w:rsid w:val="009A4B37"/>
    <w:rsid w:val="009A6554"/>
    <w:rsid w:val="009A69B4"/>
    <w:rsid w:val="009B182B"/>
    <w:rsid w:val="009B21B0"/>
    <w:rsid w:val="009B3499"/>
    <w:rsid w:val="009B3554"/>
    <w:rsid w:val="009B6453"/>
    <w:rsid w:val="009B6906"/>
    <w:rsid w:val="009C2FDE"/>
    <w:rsid w:val="009C3C1A"/>
    <w:rsid w:val="009C3D42"/>
    <w:rsid w:val="009C61DA"/>
    <w:rsid w:val="009D09C5"/>
    <w:rsid w:val="009D2EB1"/>
    <w:rsid w:val="009D6175"/>
    <w:rsid w:val="009D7C76"/>
    <w:rsid w:val="009E0D67"/>
    <w:rsid w:val="009E11C9"/>
    <w:rsid w:val="009E3711"/>
    <w:rsid w:val="009E455E"/>
    <w:rsid w:val="009E56A0"/>
    <w:rsid w:val="009E5C5A"/>
    <w:rsid w:val="009E6F91"/>
    <w:rsid w:val="009E723A"/>
    <w:rsid w:val="009F1050"/>
    <w:rsid w:val="009F4F02"/>
    <w:rsid w:val="009F5930"/>
    <w:rsid w:val="009F6CBA"/>
    <w:rsid w:val="009F730C"/>
    <w:rsid w:val="00A000CB"/>
    <w:rsid w:val="00A02A88"/>
    <w:rsid w:val="00A02E56"/>
    <w:rsid w:val="00A0303A"/>
    <w:rsid w:val="00A03372"/>
    <w:rsid w:val="00A03D68"/>
    <w:rsid w:val="00A03E8F"/>
    <w:rsid w:val="00A04B24"/>
    <w:rsid w:val="00A06888"/>
    <w:rsid w:val="00A06DD0"/>
    <w:rsid w:val="00A06E33"/>
    <w:rsid w:val="00A07F31"/>
    <w:rsid w:val="00A10AEF"/>
    <w:rsid w:val="00A10FCE"/>
    <w:rsid w:val="00A11235"/>
    <w:rsid w:val="00A12607"/>
    <w:rsid w:val="00A12648"/>
    <w:rsid w:val="00A12A3B"/>
    <w:rsid w:val="00A13E41"/>
    <w:rsid w:val="00A14600"/>
    <w:rsid w:val="00A17E1B"/>
    <w:rsid w:val="00A2136C"/>
    <w:rsid w:val="00A21F6C"/>
    <w:rsid w:val="00A223FD"/>
    <w:rsid w:val="00A22C02"/>
    <w:rsid w:val="00A23960"/>
    <w:rsid w:val="00A23BF1"/>
    <w:rsid w:val="00A26788"/>
    <w:rsid w:val="00A267B8"/>
    <w:rsid w:val="00A3016D"/>
    <w:rsid w:val="00A31129"/>
    <w:rsid w:val="00A31861"/>
    <w:rsid w:val="00A34365"/>
    <w:rsid w:val="00A34B91"/>
    <w:rsid w:val="00A34F3C"/>
    <w:rsid w:val="00A368C2"/>
    <w:rsid w:val="00A40224"/>
    <w:rsid w:val="00A40756"/>
    <w:rsid w:val="00A41B40"/>
    <w:rsid w:val="00A4447B"/>
    <w:rsid w:val="00A462E1"/>
    <w:rsid w:val="00A46389"/>
    <w:rsid w:val="00A463F0"/>
    <w:rsid w:val="00A46B7B"/>
    <w:rsid w:val="00A51ED5"/>
    <w:rsid w:val="00A53E32"/>
    <w:rsid w:val="00A53E7F"/>
    <w:rsid w:val="00A540C9"/>
    <w:rsid w:val="00A566D6"/>
    <w:rsid w:val="00A577ED"/>
    <w:rsid w:val="00A57AD2"/>
    <w:rsid w:val="00A61805"/>
    <w:rsid w:val="00A64EEE"/>
    <w:rsid w:val="00A66D8B"/>
    <w:rsid w:val="00A7189A"/>
    <w:rsid w:val="00A71C80"/>
    <w:rsid w:val="00A7239B"/>
    <w:rsid w:val="00A75FFF"/>
    <w:rsid w:val="00A76628"/>
    <w:rsid w:val="00A76A35"/>
    <w:rsid w:val="00A7752D"/>
    <w:rsid w:val="00A77ABA"/>
    <w:rsid w:val="00A802E2"/>
    <w:rsid w:val="00A813CF"/>
    <w:rsid w:val="00A814CA"/>
    <w:rsid w:val="00A82828"/>
    <w:rsid w:val="00A8360B"/>
    <w:rsid w:val="00A83819"/>
    <w:rsid w:val="00A83B62"/>
    <w:rsid w:val="00A84DC7"/>
    <w:rsid w:val="00A84DFE"/>
    <w:rsid w:val="00A854A6"/>
    <w:rsid w:val="00A8562B"/>
    <w:rsid w:val="00A90495"/>
    <w:rsid w:val="00A904B0"/>
    <w:rsid w:val="00A907CE"/>
    <w:rsid w:val="00A9239A"/>
    <w:rsid w:val="00A93B22"/>
    <w:rsid w:val="00A9434F"/>
    <w:rsid w:val="00A9574D"/>
    <w:rsid w:val="00A95DC0"/>
    <w:rsid w:val="00A960AA"/>
    <w:rsid w:val="00A965C8"/>
    <w:rsid w:val="00A969C8"/>
    <w:rsid w:val="00A97FAB"/>
    <w:rsid w:val="00AA076C"/>
    <w:rsid w:val="00AA1CA9"/>
    <w:rsid w:val="00AA1DAC"/>
    <w:rsid w:val="00AA5894"/>
    <w:rsid w:val="00AA5CDC"/>
    <w:rsid w:val="00AA71AD"/>
    <w:rsid w:val="00AA75D3"/>
    <w:rsid w:val="00AB0280"/>
    <w:rsid w:val="00AB2060"/>
    <w:rsid w:val="00AB24AB"/>
    <w:rsid w:val="00AB27D6"/>
    <w:rsid w:val="00AB3416"/>
    <w:rsid w:val="00AB6720"/>
    <w:rsid w:val="00AB68B5"/>
    <w:rsid w:val="00AB7919"/>
    <w:rsid w:val="00AB7A8E"/>
    <w:rsid w:val="00AC1B01"/>
    <w:rsid w:val="00AC2E75"/>
    <w:rsid w:val="00AC34B5"/>
    <w:rsid w:val="00AC34FD"/>
    <w:rsid w:val="00AC42C1"/>
    <w:rsid w:val="00AC45CE"/>
    <w:rsid w:val="00AC611D"/>
    <w:rsid w:val="00AC62C4"/>
    <w:rsid w:val="00AC69F7"/>
    <w:rsid w:val="00AC6EBB"/>
    <w:rsid w:val="00AD1429"/>
    <w:rsid w:val="00AD1518"/>
    <w:rsid w:val="00AD1F21"/>
    <w:rsid w:val="00AD28D8"/>
    <w:rsid w:val="00AE1599"/>
    <w:rsid w:val="00AE4A36"/>
    <w:rsid w:val="00AE57CD"/>
    <w:rsid w:val="00AE63AE"/>
    <w:rsid w:val="00AE6D19"/>
    <w:rsid w:val="00AE726A"/>
    <w:rsid w:val="00AE7884"/>
    <w:rsid w:val="00AE7B39"/>
    <w:rsid w:val="00AE7EA8"/>
    <w:rsid w:val="00AF0670"/>
    <w:rsid w:val="00AF1A6E"/>
    <w:rsid w:val="00AF2DBF"/>
    <w:rsid w:val="00AF3E9B"/>
    <w:rsid w:val="00AF4160"/>
    <w:rsid w:val="00AF6033"/>
    <w:rsid w:val="00AF67C2"/>
    <w:rsid w:val="00AF736C"/>
    <w:rsid w:val="00B002E7"/>
    <w:rsid w:val="00B00A89"/>
    <w:rsid w:val="00B0237C"/>
    <w:rsid w:val="00B029CD"/>
    <w:rsid w:val="00B02B14"/>
    <w:rsid w:val="00B039A7"/>
    <w:rsid w:val="00B06151"/>
    <w:rsid w:val="00B078E6"/>
    <w:rsid w:val="00B101F6"/>
    <w:rsid w:val="00B1054A"/>
    <w:rsid w:val="00B134A0"/>
    <w:rsid w:val="00B13879"/>
    <w:rsid w:val="00B13DF4"/>
    <w:rsid w:val="00B13F7A"/>
    <w:rsid w:val="00B1432F"/>
    <w:rsid w:val="00B15858"/>
    <w:rsid w:val="00B15F10"/>
    <w:rsid w:val="00B20880"/>
    <w:rsid w:val="00B22141"/>
    <w:rsid w:val="00B22A81"/>
    <w:rsid w:val="00B247EF"/>
    <w:rsid w:val="00B24A77"/>
    <w:rsid w:val="00B25A02"/>
    <w:rsid w:val="00B26FA7"/>
    <w:rsid w:val="00B27671"/>
    <w:rsid w:val="00B31F87"/>
    <w:rsid w:val="00B32BB2"/>
    <w:rsid w:val="00B33FB3"/>
    <w:rsid w:val="00B35627"/>
    <w:rsid w:val="00B365C5"/>
    <w:rsid w:val="00B4069D"/>
    <w:rsid w:val="00B40A10"/>
    <w:rsid w:val="00B424A0"/>
    <w:rsid w:val="00B42550"/>
    <w:rsid w:val="00B432FC"/>
    <w:rsid w:val="00B43403"/>
    <w:rsid w:val="00B458B7"/>
    <w:rsid w:val="00B45FE0"/>
    <w:rsid w:val="00B46356"/>
    <w:rsid w:val="00B4666F"/>
    <w:rsid w:val="00B46FE3"/>
    <w:rsid w:val="00B472DD"/>
    <w:rsid w:val="00B47372"/>
    <w:rsid w:val="00B47E49"/>
    <w:rsid w:val="00B50E00"/>
    <w:rsid w:val="00B525A8"/>
    <w:rsid w:val="00B527C8"/>
    <w:rsid w:val="00B52D48"/>
    <w:rsid w:val="00B535E4"/>
    <w:rsid w:val="00B54328"/>
    <w:rsid w:val="00B55C6B"/>
    <w:rsid w:val="00B55D5C"/>
    <w:rsid w:val="00B5601B"/>
    <w:rsid w:val="00B5621F"/>
    <w:rsid w:val="00B56CBE"/>
    <w:rsid w:val="00B56F59"/>
    <w:rsid w:val="00B573FC"/>
    <w:rsid w:val="00B57F23"/>
    <w:rsid w:val="00B61DF1"/>
    <w:rsid w:val="00B62EB7"/>
    <w:rsid w:val="00B63FDB"/>
    <w:rsid w:val="00B65CB4"/>
    <w:rsid w:val="00B667FB"/>
    <w:rsid w:val="00B67C37"/>
    <w:rsid w:val="00B701AC"/>
    <w:rsid w:val="00B723D8"/>
    <w:rsid w:val="00B72451"/>
    <w:rsid w:val="00B72835"/>
    <w:rsid w:val="00B72A49"/>
    <w:rsid w:val="00B74C99"/>
    <w:rsid w:val="00B752FC"/>
    <w:rsid w:val="00B756B5"/>
    <w:rsid w:val="00B75EEE"/>
    <w:rsid w:val="00B77EE7"/>
    <w:rsid w:val="00B80276"/>
    <w:rsid w:val="00B81217"/>
    <w:rsid w:val="00B8239D"/>
    <w:rsid w:val="00B82E0B"/>
    <w:rsid w:val="00B863E9"/>
    <w:rsid w:val="00B86993"/>
    <w:rsid w:val="00B90C95"/>
    <w:rsid w:val="00B91790"/>
    <w:rsid w:val="00B91B6E"/>
    <w:rsid w:val="00B941AD"/>
    <w:rsid w:val="00B9715E"/>
    <w:rsid w:val="00B97C4D"/>
    <w:rsid w:val="00BA0220"/>
    <w:rsid w:val="00BA490B"/>
    <w:rsid w:val="00BA53E5"/>
    <w:rsid w:val="00BA5E91"/>
    <w:rsid w:val="00BA6182"/>
    <w:rsid w:val="00BA64F4"/>
    <w:rsid w:val="00BA700D"/>
    <w:rsid w:val="00BA76B8"/>
    <w:rsid w:val="00BA7C8F"/>
    <w:rsid w:val="00BB1A14"/>
    <w:rsid w:val="00BB3319"/>
    <w:rsid w:val="00BB3423"/>
    <w:rsid w:val="00BB40ED"/>
    <w:rsid w:val="00BB4AFA"/>
    <w:rsid w:val="00BB532E"/>
    <w:rsid w:val="00BB6C4E"/>
    <w:rsid w:val="00BC0BE3"/>
    <w:rsid w:val="00BC1BFF"/>
    <w:rsid w:val="00BC1C1D"/>
    <w:rsid w:val="00BC3937"/>
    <w:rsid w:val="00BC3CEB"/>
    <w:rsid w:val="00BC46B5"/>
    <w:rsid w:val="00BC5F9B"/>
    <w:rsid w:val="00BD0A22"/>
    <w:rsid w:val="00BD183B"/>
    <w:rsid w:val="00BD1D38"/>
    <w:rsid w:val="00BD312F"/>
    <w:rsid w:val="00BD319E"/>
    <w:rsid w:val="00BD391C"/>
    <w:rsid w:val="00BD4879"/>
    <w:rsid w:val="00BD4E9F"/>
    <w:rsid w:val="00BD5582"/>
    <w:rsid w:val="00BD71A2"/>
    <w:rsid w:val="00BD7632"/>
    <w:rsid w:val="00BD77B9"/>
    <w:rsid w:val="00BE01C4"/>
    <w:rsid w:val="00BE034A"/>
    <w:rsid w:val="00BE1A3C"/>
    <w:rsid w:val="00BE37EC"/>
    <w:rsid w:val="00BE3960"/>
    <w:rsid w:val="00BE3AD2"/>
    <w:rsid w:val="00BE41AC"/>
    <w:rsid w:val="00BE4AE4"/>
    <w:rsid w:val="00BE4B39"/>
    <w:rsid w:val="00BE4EB7"/>
    <w:rsid w:val="00BE59B5"/>
    <w:rsid w:val="00BE5BE7"/>
    <w:rsid w:val="00BF03A3"/>
    <w:rsid w:val="00BF1D42"/>
    <w:rsid w:val="00BF2C5E"/>
    <w:rsid w:val="00BF305B"/>
    <w:rsid w:val="00BF3323"/>
    <w:rsid w:val="00BF35CE"/>
    <w:rsid w:val="00BF4DFC"/>
    <w:rsid w:val="00BF54A2"/>
    <w:rsid w:val="00BF5D67"/>
    <w:rsid w:val="00BF64CB"/>
    <w:rsid w:val="00BF749A"/>
    <w:rsid w:val="00C00A5C"/>
    <w:rsid w:val="00C01E62"/>
    <w:rsid w:val="00C041BD"/>
    <w:rsid w:val="00C05438"/>
    <w:rsid w:val="00C057B4"/>
    <w:rsid w:val="00C07636"/>
    <w:rsid w:val="00C07B3E"/>
    <w:rsid w:val="00C07C05"/>
    <w:rsid w:val="00C1182F"/>
    <w:rsid w:val="00C16C28"/>
    <w:rsid w:val="00C16C54"/>
    <w:rsid w:val="00C17D7F"/>
    <w:rsid w:val="00C20175"/>
    <w:rsid w:val="00C21D0E"/>
    <w:rsid w:val="00C21FCE"/>
    <w:rsid w:val="00C22AAA"/>
    <w:rsid w:val="00C234D3"/>
    <w:rsid w:val="00C234DB"/>
    <w:rsid w:val="00C235DD"/>
    <w:rsid w:val="00C23B77"/>
    <w:rsid w:val="00C23BC3"/>
    <w:rsid w:val="00C23F4D"/>
    <w:rsid w:val="00C24098"/>
    <w:rsid w:val="00C26001"/>
    <w:rsid w:val="00C26544"/>
    <w:rsid w:val="00C3027F"/>
    <w:rsid w:val="00C32509"/>
    <w:rsid w:val="00C33344"/>
    <w:rsid w:val="00C3372F"/>
    <w:rsid w:val="00C33964"/>
    <w:rsid w:val="00C33AE2"/>
    <w:rsid w:val="00C345F4"/>
    <w:rsid w:val="00C35123"/>
    <w:rsid w:val="00C3550B"/>
    <w:rsid w:val="00C40C49"/>
    <w:rsid w:val="00C413B7"/>
    <w:rsid w:val="00C41707"/>
    <w:rsid w:val="00C42842"/>
    <w:rsid w:val="00C43230"/>
    <w:rsid w:val="00C443FC"/>
    <w:rsid w:val="00C4515E"/>
    <w:rsid w:val="00C47376"/>
    <w:rsid w:val="00C509D9"/>
    <w:rsid w:val="00C50BBB"/>
    <w:rsid w:val="00C51065"/>
    <w:rsid w:val="00C5123D"/>
    <w:rsid w:val="00C51D32"/>
    <w:rsid w:val="00C51D58"/>
    <w:rsid w:val="00C534C2"/>
    <w:rsid w:val="00C5577B"/>
    <w:rsid w:val="00C5620F"/>
    <w:rsid w:val="00C56BE9"/>
    <w:rsid w:val="00C603A4"/>
    <w:rsid w:val="00C6125B"/>
    <w:rsid w:val="00C62177"/>
    <w:rsid w:val="00C63105"/>
    <w:rsid w:val="00C63C91"/>
    <w:rsid w:val="00C650B2"/>
    <w:rsid w:val="00C657B1"/>
    <w:rsid w:val="00C6591E"/>
    <w:rsid w:val="00C74E48"/>
    <w:rsid w:val="00C767B0"/>
    <w:rsid w:val="00C77DB7"/>
    <w:rsid w:val="00C80D33"/>
    <w:rsid w:val="00C80E2A"/>
    <w:rsid w:val="00C84D1F"/>
    <w:rsid w:val="00C84FB0"/>
    <w:rsid w:val="00C85F32"/>
    <w:rsid w:val="00C87812"/>
    <w:rsid w:val="00C87E3E"/>
    <w:rsid w:val="00C91431"/>
    <w:rsid w:val="00C92140"/>
    <w:rsid w:val="00C93194"/>
    <w:rsid w:val="00C93F7E"/>
    <w:rsid w:val="00C9622F"/>
    <w:rsid w:val="00C9638D"/>
    <w:rsid w:val="00C96BFF"/>
    <w:rsid w:val="00C97390"/>
    <w:rsid w:val="00C97459"/>
    <w:rsid w:val="00CA1129"/>
    <w:rsid w:val="00CA354D"/>
    <w:rsid w:val="00CA5150"/>
    <w:rsid w:val="00CA515D"/>
    <w:rsid w:val="00CA6277"/>
    <w:rsid w:val="00CA6FA6"/>
    <w:rsid w:val="00CA718A"/>
    <w:rsid w:val="00CA7761"/>
    <w:rsid w:val="00CA793D"/>
    <w:rsid w:val="00CA7A4A"/>
    <w:rsid w:val="00CB00AB"/>
    <w:rsid w:val="00CB0FC7"/>
    <w:rsid w:val="00CB1D31"/>
    <w:rsid w:val="00CB3260"/>
    <w:rsid w:val="00CB68E3"/>
    <w:rsid w:val="00CC1F37"/>
    <w:rsid w:val="00CC2890"/>
    <w:rsid w:val="00CD0154"/>
    <w:rsid w:val="00CD073F"/>
    <w:rsid w:val="00CD26F4"/>
    <w:rsid w:val="00CD2F62"/>
    <w:rsid w:val="00CD427B"/>
    <w:rsid w:val="00CD42A8"/>
    <w:rsid w:val="00CD4C2F"/>
    <w:rsid w:val="00CD687E"/>
    <w:rsid w:val="00CD7D76"/>
    <w:rsid w:val="00CE1100"/>
    <w:rsid w:val="00CE1D18"/>
    <w:rsid w:val="00CE3A2F"/>
    <w:rsid w:val="00CE3A91"/>
    <w:rsid w:val="00CE489F"/>
    <w:rsid w:val="00CE6319"/>
    <w:rsid w:val="00CF02AA"/>
    <w:rsid w:val="00CF18D7"/>
    <w:rsid w:val="00CF38A2"/>
    <w:rsid w:val="00CF38AD"/>
    <w:rsid w:val="00CF5E17"/>
    <w:rsid w:val="00CF68BB"/>
    <w:rsid w:val="00CF7FC5"/>
    <w:rsid w:val="00D0021F"/>
    <w:rsid w:val="00D002F3"/>
    <w:rsid w:val="00D01208"/>
    <w:rsid w:val="00D01501"/>
    <w:rsid w:val="00D028CF"/>
    <w:rsid w:val="00D028F6"/>
    <w:rsid w:val="00D03CE2"/>
    <w:rsid w:val="00D10271"/>
    <w:rsid w:val="00D138DB"/>
    <w:rsid w:val="00D151F2"/>
    <w:rsid w:val="00D155B1"/>
    <w:rsid w:val="00D171B6"/>
    <w:rsid w:val="00D17B0B"/>
    <w:rsid w:val="00D209E8"/>
    <w:rsid w:val="00D21BB7"/>
    <w:rsid w:val="00D22947"/>
    <w:rsid w:val="00D23213"/>
    <w:rsid w:val="00D26A2C"/>
    <w:rsid w:val="00D27A0E"/>
    <w:rsid w:val="00D31186"/>
    <w:rsid w:val="00D31363"/>
    <w:rsid w:val="00D322FA"/>
    <w:rsid w:val="00D32CBC"/>
    <w:rsid w:val="00D336A5"/>
    <w:rsid w:val="00D35B4C"/>
    <w:rsid w:val="00D36571"/>
    <w:rsid w:val="00D36C2D"/>
    <w:rsid w:val="00D40392"/>
    <w:rsid w:val="00D40585"/>
    <w:rsid w:val="00D40799"/>
    <w:rsid w:val="00D41906"/>
    <w:rsid w:val="00D43389"/>
    <w:rsid w:val="00D438C3"/>
    <w:rsid w:val="00D4509D"/>
    <w:rsid w:val="00D474FE"/>
    <w:rsid w:val="00D53642"/>
    <w:rsid w:val="00D56128"/>
    <w:rsid w:val="00D565FD"/>
    <w:rsid w:val="00D5677B"/>
    <w:rsid w:val="00D622FA"/>
    <w:rsid w:val="00D62E65"/>
    <w:rsid w:val="00D62E7D"/>
    <w:rsid w:val="00D63F23"/>
    <w:rsid w:val="00D65B01"/>
    <w:rsid w:val="00D67084"/>
    <w:rsid w:val="00D702D4"/>
    <w:rsid w:val="00D7094A"/>
    <w:rsid w:val="00D70A56"/>
    <w:rsid w:val="00D736EC"/>
    <w:rsid w:val="00D74178"/>
    <w:rsid w:val="00D747FA"/>
    <w:rsid w:val="00D74C89"/>
    <w:rsid w:val="00D74DAD"/>
    <w:rsid w:val="00D76F10"/>
    <w:rsid w:val="00D77C39"/>
    <w:rsid w:val="00D814E6"/>
    <w:rsid w:val="00D8306A"/>
    <w:rsid w:val="00D831E7"/>
    <w:rsid w:val="00D83832"/>
    <w:rsid w:val="00D8395D"/>
    <w:rsid w:val="00D84578"/>
    <w:rsid w:val="00D85734"/>
    <w:rsid w:val="00D86788"/>
    <w:rsid w:val="00D87012"/>
    <w:rsid w:val="00D87D70"/>
    <w:rsid w:val="00D91DF7"/>
    <w:rsid w:val="00D94882"/>
    <w:rsid w:val="00D956FF"/>
    <w:rsid w:val="00D96FDD"/>
    <w:rsid w:val="00D97D0D"/>
    <w:rsid w:val="00DA004D"/>
    <w:rsid w:val="00DA00F0"/>
    <w:rsid w:val="00DA2F99"/>
    <w:rsid w:val="00DA3034"/>
    <w:rsid w:val="00DA4217"/>
    <w:rsid w:val="00DA59AF"/>
    <w:rsid w:val="00DA5F57"/>
    <w:rsid w:val="00DA7493"/>
    <w:rsid w:val="00DB0496"/>
    <w:rsid w:val="00DB10E2"/>
    <w:rsid w:val="00DB15A9"/>
    <w:rsid w:val="00DB1BC3"/>
    <w:rsid w:val="00DB2613"/>
    <w:rsid w:val="00DB2BBC"/>
    <w:rsid w:val="00DB561A"/>
    <w:rsid w:val="00DC2064"/>
    <w:rsid w:val="00DC2628"/>
    <w:rsid w:val="00DC3017"/>
    <w:rsid w:val="00DC4426"/>
    <w:rsid w:val="00DC4B1F"/>
    <w:rsid w:val="00DC61CB"/>
    <w:rsid w:val="00DC6C37"/>
    <w:rsid w:val="00DC7CE5"/>
    <w:rsid w:val="00DD0063"/>
    <w:rsid w:val="00DD08B7"/>
    <w:rsid w:val="00DD0BF2"/>
    <w:rsid w:val="00DD2E7E"/>
    <w:rsid w:val="00DD3E60"/>
    <w:rsid w:val="00DD5F70"/>
    <w:rsid w:val="00DD6446"/>
    <w:rsid w:val="00DD65C8"/>
    <w:rsid w:val="00DE0174"/>
    <w:rsid w:val="00DE01EE"/>
    <w:rsid w:val="00DE1BBD"/>
    <w:rsid w:val="00DE2DF2"/>
    <w:rsid w:val="00DE441F"/>
    <w:rsid w:val="00DE45EA"/>
    <w:rsid w:val="00DF0E32"/>
    <w:rsid w:val="00DF328E"/>
    <w:rsid w:val="00DF5477"/>
    <w:rsid w:val="00DF5F39"/>
    <w:rsid w:val="00DF6158"/>
    <w:rsid w:val="00DF6EEA"/>
    <w:rsid w:val="00E00516"/>
    <w:rsid w:val="00E012D7"/>
    <w:rsid w:val="00E0203C"/>
    <w:rsid w:val="00E03317"/>
    <w:rsid w:val="00E03534"/>
    <w:rsid w:val="00E04F27"/>
    <w:rsid w:val="00E06230"/>
    <w:rsid w:val="00E100DF"/>
    <w:rsid w:val="00E10766"/>
    <w:rsid w:val="00E1290F"/>
    <w:rsid w:val="00E13ACF"/>
    <w:rsid w:val="00E15277"/>
    <w:rsid w:val="00E15ED2"/>
    <w:rsid w:val="00E16040"/>
    <w:rsid w:val="00E1636F"/>
    <w:rsid w:val="00E16D6F"/>
    <w:rsid w:val="00E1742B"/>
    <w:rsid w:val="00E17E65"/>
    <w:rsid w:val="00E17F44"/>
    <w:rsid w:val="00E21F72"/>
    <w:rsid w:val="00E228E1"/>
    <w:rsid w:val="00E246E3"/>
    <w:rsid w:val="00E258FE"/>
    <w:rsid w:val="00E261C8"/>
    <w:rsid w:val="00E26586"/>
    <w:rsid w:val="00E27EF0"/>
    <w:rsid w:val="00E313E1"/>
    <w:rsid w:val="00E31D48"/>
    <w:rsid w:val="00E32178"/>
    <w:rsid w:val="00E34C64"/>
    <w:rsid w:val="00E3697F"/>
    <w:rsid w:val="00E3712E"/>
    <w:rsid w:val="00E374C2"/>
    <w:rsid w:val="00E40CF4"/>
    <w:rsid w:val="00E41FBF"/>
    <w:rsid w:val="00E42C44"/>
    <w:rsid w:val="00E44BDA"/>
    <w:rsid w:val="00E44D73"/>
    <w:rsid w:val="00E46020"/>
    <w:rsid w:val="00E4630A"/>
    <w:rsid w:val="00E46E26"/>
    <w:rsid w:val="00E471A6"/>
    <w:rsid w:val="00E50216"/>
    <w:rsid w:val="00E5399A"/>
    <w:rsid w:val="00E53C80"/>
    <w:rsid w:val="00E548E3"/>
    <w:rsid w:val="00E5493B"/>
    <w:rsid w:val="00E5499F"/>
    <w:rsid w:val="00E54FE0"/>
    <w:rsid w:val="00E55A2A"/>
    <w:rsid w:val="00E55C5B"/>
    <w:rsid w:val="00E5714B"/>
    <w:rsid w:val="00E63BBC"/>
    <w:rsid w:val="00E64ED6"/>
    <w:rsid w:val="00E65204"/>
    <w:rsid w:val="00E656D9"/>
    <w:rsid w:val="00E65725"/>
    <w:rsid w:val="00E65885"/>
    <w:rsid w:val="00E66295"/>
    <w:rsid w:val="00E66777"/>
    <w:rsid w:val="00E67841"/>
    <w:rsid w:val="00E67E45"/>
    <w:rsid w:val="00E706A8"/>
    <w:rsid w:val="00E70AC8"/>
    <w:rsid w:val="00E73F2D"/>
    <w:rsid w:val="00E7433B"/>
    <w:rsid w:val="00E754EC"/>
    <w:rsid w:val="00E76449"/>
    <w:rsid w:val="00E814DB"/>
    <w:rsid w:val="00E826D3"/>
    <w:rsid w:val="00E84B37"/>
    <w:rsid w:val="00E8592E"/>
    <w:rsid w:val="00E86596"/>
    <w:rsid w:val="00E86AA0"/>
    <w:rsid w:val="00E87328"/>
    <w:rsid w:val="00E87C96"/>
    <w:rsid w:val="00E90A15"/>
    <w:rsid w:val="00E90B34"/>
    <w:rsid w:val="00E90DF6"/>
    <w:rsid w:val="00E92221"/>
    <w:rsid w:val="00E92316"/>
    <w:rsid w:val="00E9289B"/>
    <w:rsid w:val="00E962B3"/>
    <w:rsid w:val="00E96446"/>
    <w:rsid w:val="00E967EF"/>
    <w:rsid w:val="00EA0ACD"/>
    <w:rsid w:val="00EA1B09"/>
    <w:rsid w:val="00EA1B84"/>
    <w:rsid w:val="00EA23F7"/>
    <w:rsid w:val="00EA310C"/>
    <w:rsid w:val="00EA35A2"/>
    <w:rsid w:val="00EA3654"/>
    <w:rsid w:val="00EA4D3E"/>
    <w:rsid w:val="00EA7906"/>
    <w:rsid w:val="00EA7FC6"/>
    <w:rsid w:val="00EB0CC4"/>
    <w:rsid w:val="00EB29EA"/>
    <w:rsid w:val="00EB3A70"/>
    <w:rsid w:val="00EB3D16"/>
    <w:rsid w:val="00EB5250"/>
    <w:rsid w:val="00EB549F"/>
    <w:rsid w:val="00EB7DD3"/>
    <w:rsid w:val="00EB7FC4"/>
    <w:rsid w:val="00EC0A10"/>
    <w:rsid w:val="00EC0B54"/>
    <w:rsid w:val="00EC16EE"/>
    <w:rsid w:val="00EC18AD"/>
    <w:rsid w:val="00EC1A04"/>
    <w:rsid w:val="00EC1AA9"/>
    <w:rsid w:val="00EC321E"/>
    <w:rsid w:val="00EC3BD3"/>
    <w:rsid w:val="00EC404C"/>
    <w:rsid w:val="00EC500D"/>
    <w:rsid w:val="00EC6B64"/>
    <w:rsid w:val="00EC6E1F"/>
    <w:rsid w:val="00ED0567"/>
    <w:rsid w:val="00ED144E"/>
    <w:rsid w:val="00ED1D17"/>
    <w:rsid w:val="00ED2C80"/>
    <w:rsid w:val="00ED31B8"/>
    <w:rsid w:val="00ED4CE6"/>
    <w:rsid w:val="00ED694E"/>
    <w:rsid w:val="00ED696E"/>
    <w:rsid w:val="00ED7DEE"/>
    <w:rsid w:val="00ED7EEE"/>
    <w:rsid w:val="00EE04FC"/>
    <w:rsid w:val="00EE0CAD"/>
    <w:rsid w:val="00EE19A3"/>
    <w:rsid w:val="00EE5572"/>
    <w:rsid w:val="00EE5D56"/>
    <w:rsid w:val="00EE6421"/>
    <w:rsid w:val="00EE72B6"/>
    <w:rsid w:val="00EF005B"/>
    <w:rsid w:val="00EF114B"/>
    <w:rsid w:val="00EF29BA"/>
    <w:rsid w:val="00EF4450"/>
    <w:rsid w:val="00EF59AA"/>
    <w:rsid w:val="00EF6ADE"/>
    <w:rsid w:val="00F00144"/>
    <w:rsid w:val="00F015D3"/>
    <w:rsid w:val="00F03B76"/>
    <w:rsid w:val="00F03EBC"/>
    <w:rsid w:val="00F051F4"/>
    <w:rsid w:val="00F05861"/>
    <w:rsid w:val="00F063EF"/>
    <w:rsid w:val="00F06CC7"/>
    <w:rsid w:val="00F1011D"/>
    <w:rsid w:val="00F12377"/>
    <w:rsid w:val="00F140DB"/>
    <w:rsid w:val="00F144AE"/>
    <w:rsid w:val="00F15069"/>
    <w:rsid w:val="00F15357"/>
    <w:rsid w:val="00F16EDF"/>
    <w:rsid w:val="00F1712E"/>
    <w:rsid w:val="00F20569"/>
    <w:rsid w:val="00F210A3"/>
    <w:rsid w:val="00F223CF"/>
    <w:rsid w:val="00F22870"/>
    <w:rsid w:val="00F22F60"/>
    <w:rsid w:val="00F2422E"/>
    <w:rsid w:val="00F2492F"/>
    <w:rsid w:val="00F3152F"/>
    <w:rsid w:val="00F32DA1"/>
    <w:rsid w:val="00F346D1"/>
    <w:rsid w:val="00F34AF8"/>
    <w:rsid w:val="00F34D16"/>
    <w:rsid w:val="00F35001"/>
    <w:rsid w:val="00F3560C"/>
    <w:rsid w:val="00F35664"/>
    <w:rsid w:val="00F372E1"/>
    <w:rsid w:val="00F3743A"/>
    <w:rsid w:val="00F37DCE"/>
    <w:rsid w:val="00F41173"/>
    <w:rsid w:val="00F41694"/>
    <w:rsid w:val="00F41EFE"/>
    <w:rsid w:val="00F41FB4"/>
    <w:rsid w:val="00F42158"/>
    <w:rsid w:val="00F43033"/>
    <w:rsid w:val="00F43718"/>
    <w:rsid w:val="00F45621"/>
    <w:rsid w:val="00F45758"/>
    <w:rsid w:val="00F45B85"/>
    <w:rsid w:val="00F47462"/>
    <w:rsid w:val="00F510B5"/>
    <w:rsid w:val="00F5175A"/>
    <w:rsid w:val="00F52371"/>
    <w:rsid w:val="00F52DE5"/>
    <w:rsid w:val="00F53521"/>
    <w:rsid w:val="00F539E8"/>
    <w:rsid w:val="00F54178"/>
    <w:rsid w:val="00F54B54"/>
    <w:rsid w:val="00F552BD"/>
    <w:rsid w:val="00F55494"/>
    <w:rsid w:val="00F55928"/>
    <w:rsid w:val="00F5652E"/>
    <w:rsid w:val="00F57A15"/>
    <w:rsid w:val="00F61839"/>
    <w:rsid w:val="00F64E43"/>
    <w:rsid w:val="00F66732"/>
    <w:rsid w:val="00F705AD"/>
    <w:rsid w:val="00F713D5"/>
    <w:rsid w:val="00F722F7"/>
    <w:rsid w:val="00F72EFA"/>
    <w:rsid w:val="00F73736"/>
    <w:rsid w:val="00F74499"/>
    <w:rsid w:val="00F75648"/>
    <w:rsid w:val="00F7644C"/>
    <w:rsid w:val="00F81A86"/>
    <w:rsid w:val="00F81AC8"/>
    <w:rsid w:val="00F81D30"/>
    <w:rsid w:val="00F81ED4"/>
    <w:rsid w:val="00F82976"/>
    <w:rsid w:val="00F82A8B"/>
    <w:rsid w:val="00F84EA3"/>
    <w:rsid w:val="00F858C9"/>
    <w:rsid w:val="00F925F4"/>
    <w:rsid w:val="00F9451E"/>
    <w:rsid w:val="00F9482A"/>
    <w:rsid w:val="00F9501F"/>
    <w:rsid w:val="00FA05A3"/>
    <w:rsid w:val="00FA1705"/>
    <w:rsid w:val="00FA25FB"/>
    <w:rsid w:val="00FA30FD"/>
    <w:rsid w:val="00FA5014"/>
    <w:rsid w:val="00FA5BED"/>
    <w:rsid w:val="00FA6563"/>
    <w:rsid w:val="00FA72EF"/>
    <w:rsid w:val="00FB1C3D"/>
    <w:rsid w:val="00FB1F48"/>
    <w:rsid w:val="00FB1FB4"/>
    <w:rsid w:val="00FB2AEE"/>
    <w:rsid w:val="00FB35F1"/>
    <w:rsid w:val="00FB4138"/>
    <w:rsid w:val="00FB4729"/>
    <w:rsid w:val="00FB50EE"/>
    <w:rsid w:val="00FB53D8"/>
    <w:rsid w:val="00FB5A4A"/>
    <w:rsid w:val="00FB5FE9"/>
    <w:rsid w:val="00FC11B0"/>
    <w:rsid w:val="00FC4505"/>
    <w:rsid w:val="00FC4815"/>
    <w:rsid w:val="00FC596A"/>
    <w:rsid w:val="00FD0274"/>
    <w:rsid w:val="00FD1973"/>
    <w:rsid w:val="00FD1ACB"/>
    <w:rsid w:val="00FD1FBA"/>
    <w:rsid w:val="00FD2890"/>
    <w:rsid w:val="00FD44DE"/>
    <w:rsid w:val="00FD4B98"/>
    <w:rsid w:val="00FD6C41"/>
    <w:rsid w:val="00FD708C"/>
    <w:rsid w:val="00FD7FFC"/>
    <w:rsid w:val="00FE41E0"/>
    <w:rsid w:val="00FE52B5"/>
    <w:rsid w:val="00FE7003"/>
    <w:rsid w:val="00FF1598"/>
    <w:rsid w:val="00FF15D0"/>
    <w:rsid w:val="00FF5138"/>
    <w:rsid w:val="00FF6393"/>
    <w:rsid w:val="00FF7251"/>
    <w:rsid w:val="04151155"/>
    <w:rsid w:val="04350E59"/>
    <w:rsid w:val="04DD711A"/>
    <w:rsid w:val="053B7738"/>
    <w:rsid w:val="06FE46FC"/>
    <w:rsid w:val="07287759"/>
    <w:rsid w:val="09B16257"/>
    <w:rsid w:val="0A4D4AF5"/>
    <w:rsid w:val="0E380D83"/>
    <w:rsid w:val="10447949"/>
    <w:rsid w:val="104E3661"/>
    <w:rsid w:val="141B0B07"/>
    <w:rsid w:val="141F0C61"/>
    <w:rsid w:val="146B4C23"/>
    <w:rsid w:val="15230025"/>
    <w:rsid w:val="16C874E6"/>
    <w:rsid w:val="18FA18A5"/>
    <w:rsid w:val="19471AF7"/>
    <w:rsid w:val="19546D03"/>
    <w:rsid w:val="1B612500"/>
    <w:rsid w:val="1BDB5132"/>
    <w:rsid w:val="203F05AD"/>
    <w:rsid w:val="20C15D6F"/>
    <w:rsid w:val="21207B64"/>
    <w:rsid w:val="22DE03F8"/>
    <w:rsid w:val="262A0B69"/>
    <w:rsid w:val="29825176"/>
    <w:rsid w:val="2A5613E7"/>
    <w:rsid w:val="2B1E0FAF"/>
    <w:rsid w:val="354D0753"/>
    <w:rsid w:val="35542394"/>
    <w:rsid w:val="37A56952"/>
    <w:rsid w:val="39015EB8"/>
    <w:rsid w:val="39A9585F"/>
    <w:rsid w:val="39CA2226"/>
    <w:rsid w:val="3A98654F"/>
    <w:rsid w:val="3ACA0CAD"/>
    <w:rsid w:val="3BF9200D"/>
    <w:rsid w:val="3CF77CB1"/>
    <w:rsid w:val="3EBA64A5"/>
    <w:rsid w:val="3FEB45C1"/>
    <w:rsid w:val="41825C81"/>
    <w:rsid w:val="4227144A"/>
    <w:rsid w:val="45E71CE0"/>
    <w:rsid w:val="46453EEE"/>
    <w:rsid w:val="48E04FF6"/>
    <w:rsid w:val="49A85553"/>
    <w:rsid w:val="4B872140"/>
    <w:rsid w:val="4CC21E1D"/>
    <w:rsid w:val="51BB668B"/>
    <w:rsid w:val="52B8259F"/>
    <w:rsid w:val="541D67DC"/>
    <w:rsid w:val="56A6124D"/>
    <w:rsid w:val="595223A2"/>
    <w:rsid w:val="5B4650DA"/>
    <w:rsid w:val="5D0F4F21"/>
    <w:rsid w:val="5E1A4558"/>
    <w:rsid w:val="5E9630E9"/>
    <w:rsid w:val="5FB50C12"/>
    <w:rsid w:val="60722BFF"/>
    <w:rsid w:val="61B143C2"/>
    <w:rsid w:val="66A9558E"/>
    <w:rsid w:val="69DE301C"/>
    <w:rsid w:val="69F07457"/>
    <w:rsid w:val="6BCD3025"/>
    <w:rsid w:val="6C0A4CD5"/>
    <w:rsid w:val="6DE35219"/>
    <w:rsid w:val="6E224114"/>
    <w:rsid w:val="6FC06D96"/>
    <w:rsid w:val="722D60C8"/>
    <w:rsid w:val="72414CDD"/>
    <w:rsid w:val="76677CBF"/>
    <w:rsid w:val="78DC7256"/>
    <w:rsid w:val="793723C2"/>
    <w:rsid w:val="793B661B"/>
    <w:rsid w:val="795622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qFormat="1"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_GB2312" w:cstheme="minorBidi"/>
      <w:kern w:val="2"/>
      <w:sz w:val="28"/>
      <w:szCs w:val="22"/>
      <w:lang w:val="en-US" w:eastAsia="zh-CN" w:bidi="ar-SA"/>
    </w:rPr>
  </w:style>
  <w:style w:type="paragraph" w:styleId="2">
    <w:name w:val="heading 1"/>
    <w:basedOn w:val="1"/>
    <w:next w:val="1"/>
    <w:link w:val="26"/>
    <w:qFormat/>
    <w:uiPriority w:val="0"/>
    <w:pPr>
      <w:widowControl/>
      <w:spacing w:before="640" w:after="560" w:line="240" w:lineRule="auto"/>
      <w:ind w:firstLine="0" w:firstLineChars="0"/>
      <w:jc w:val="center"/>
      <w:outlineLvl w:val="0"/>
    </w:pPr>
    <w:rPr>
      <w:rFonts w:eastAsia="宋体" w:cs="Times New Roman"/>
      <w:kern w:val="0"/>
      <w:sz w:val="32"/>
      <w:szCs w:val="20"/>
    </w:rPr>
  </w:style>
  <w:style w:type="paragraph" w:styleId="3">
    <w:name w:val="heading 2"/>
    <w:basedOn w:val="1"/>
    <w:next w:val="1"/>
    <w:link w:val="27"/>
    <w:unhideWhenUsed/>
    <w:qFormat/>
    <w:uiPriority w:val="9"/>
    <w:pPr>
      <w:keepNext/>
      <w:keepLines/>
      <w:spacing w:before="312" w:after="312" w:line="240" w:lineRule="auto"/>
      <w:ind w:firstLine="0" w:firstLineChars="0"/>
      <w:outlineLvl w:val="1"/>
    </w:pPr>
    <w:rPr>
      <w:rFonts w:eastAsia="黑体" w:cstheme="majorBidi"/>
      <w:bCs/>
      <w:sz w:val="21"/>
      <w:szCs w:val="32"/>
    </w:rPr>
  </w:style>
  <w:style w:type="paragraph" w:styleId="4">
    <w:name w:val="heading 3"/>
    <w:basedOn w:val="1"/>
    <w:next w:val="1"/>
    <w:link w:val="28"/>
    <w:unhideWhenUsed/>
    <w:qFormat/>
    <w:uiPriority w:val="9"/>
    <w:pPr>
      <w:keepNext/>
      <w:keepLines/>
      <w:outlineLvl w:val="2"/>
    </w:pPr>
    <w:rPr>
      <w:b/>
      <w:bCs/>
      <w:szCs w:val="32"/>
    </w:rPr>
  </w:style>
  <w:style w:type="paragraph" w:styleId="5">
    <w:name w:val="heading 4"/>
    <w:basedOn w:val="1"/>
    <w:next w:val="1"/>
    <w:link w:val="29"/>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0"/>
    <w:pPr>
      <w:spacing w:before="152" w:after="160"/>
    </w:pPr>
    <w:rPr>
      <w:rFonts w:ascii="Arial" w:hAnsi="Arial" w:eastAsia="黑体"/>
      <w:sz w:val="20"/>
      <w:szCs w:val="20"/>
    </w:rPr>
  </w:style>
  <w:style w:type="paragraph" w:styleId="7">
    <w:name w:val="Document Map"/>
    <w:basedOn w:val="1"/>
    <w:link w:val="43"/>
    <w:unhideWhenUsed/>
    <w:qFormat/>
    <w:uiPriority w:val="99"/>
    <w:rPr>
      <w:rFonts w:eastAsia="仿宋" w:cs="Times New Roman"/>
      <w:szCs w:val="24"/>
    </w:rPr>
  </w:style>
  <w:style w:type="paragraph" w:styleId="8">
    <w:name w:val="annotation text"/>
    <w:basedOn w:val="1"/>
    <w:link w:val="48"/>
    <w:unhideWhenUsed/>
    <w:qFormat/>
    <w:uiPriority w:val="99"/>
    <w:pPr>
      <w:jc w:val="left"/>
    </w:pPr>
    <w:rPr>
      <w:rFonts w:eastAsia="仿宋" w:cs="Times New Roman"/>
      <w:sz w:val="30"/>
      <w:szCs w:val="20"/>
    </w:rPr>
  </w:style>
  <w:style w:type="paragraph" w:styleId="9">
    <w:name w:val="Body Text"/>
    <w:basedOn w:val="1"/>
    <w:link w:val="55"/>
    <w:semiHidden/>
    <w:unhideWhenUsed/>
    <w:qFormat/>
    <w:uiPriority w:val="99"/>
    <w:pPr>
      <w:spacing w:after="120"/>
    </w:pPr>
  </w:style>
  <w:style w:type="paragraph" w:styleId="10">
    <w:name w:val="Balloon Text"/>
    <w:basedOn w:val="1"/>
    <w:link w:val="32"/>
    <w:unhideWhenUsed/>
    <w:qFormat/>
    <w:uiPriority w:val="99"/>
    <w:pPr>
      <w:spacing w:line="240" w:lineRule="auto"/>
    </w:pPr>
    <w:rPr>
      <w:sz w:val="18"/>
      <w:szCs w:val="18"/>
    </w:rPr>
  </w:style>
  <w:style w:type="paragraph" w:styleId="11">
    <w:name w:val="footer"/>
    <w:basedOn w:val="1"/>
    <w:link w:val="31"/>
    <w:unhideWhenUsed/>
    <w:qFormat/>
    <w:uiPriority w:val="99"/>
    <w:pPr>
      <w:tabs>
        <w:tab w:val="center" w:pos="4153"/>
        <w:tab w:val="right" w:pos="8306"/>
      </w:tabs>
      <w:snapToGrid w:val="0"/>
      <w:jc w:val="left"/>
    </w:pPr>
    <w:rPr>
      <w:sz w:val="18"/>
      <w:szCs w:val="18"/>
    </w:rPr>
  </w:style>
  <w:style w:type="paragraph" w:styleId="12">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semiHidden/>
    <w:unhideWhenUsed/>
    <w:qFormat/>
    <w:uiPriority w:val="39"/>
  </w:style>
  <w:style w:type="paragraph" w:styleId="14">
    <w:name w:val="toc 2"/>
    <w:basedOn w:val="1"/>
    <w:next w:val="1"/>
    <w:semiHidden/>
    <w:unhideWhenUsed/>
    <w:qFormat/>
    <w:uiPriority w:val="39"/>
    <w:pPr>
      <w:ind w:left="420" w:leftChars="200"/>
    </w:pPr>
  </w:style>
  <w:style w:type="paragraph" w:styleId="15">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16">
    <w:name w:val="Title"/>
    <w:basedOn w:val="1"/>
    <w:qFormat/>
    <w:uiPriority w:val="0"/>
    <w:pPr>
      <w:spacing w:before="240" w:after="60"/>
      <w:jc w:val="center"/>
      <w:outlineLvl w:val="0"/>
    </w:pPr>
    <w:rPr>
      <w:rFonts w:ascii="Arial" w:hAnsi="Arial" w:cs="Arial"/>
      <w:b/>
      <w:bCs/>
      <w:sz w:val="32"/>
      <w:szCs w:val="32"/>
    </w:rPr>
  </w:style>
  <w:style w:type="paragraph" w:styleId="17">
    <w:name w:val="annotation subject"/>
    <w:basedOn w:val="8"/>
    <w:next w:val="8"/>
    <w:link w:val="49"/>
    <w:unhideWhenUsed/>
    <w:qFormat/>
    <w:uiPriority w:val="99"/>
    <w:rPr>
      <w:b/>
      <w:bCs/>
    </w:r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22"/>
    <w:rPr>
      <w:b/>
      <w:bCs/>
    </w:rPr>
  </w:style>
  <w:style w:type="character" w:styleId="22">
    <w:name w:val="page number"/>
    <w:basedOn w:val="20"/>
    <w:qFormat/>
    <w:uiPriority w:val="0"/>
  </w:style>
  <w:style w:type="character" w:styleId="23">
    <w:name w:val="Emphasis"/>
    <w:basedOn w:val="20"/>
    <w:qFormat/>
    <w:uiPriority w:val="20"/>
    <w:rPr>
      <w:color w:val="CC0000"/>
    </w:rPr>
  </w:style>
  <w:style w:type="character" w:styleId="24">
    <w:name w:val="line number"/>
    <w:semiHidden/>
    <w:unhideWhenUsed/>
    <w:qFormat/>
    <w:uiPriority w:val="99"/>
  </w:style>
  <w:style w:type="character" w:styleId="25">
    <w:name w:val="annotation reference"/>
    <w:basedOn w:val="20"/>
    <w:unhideWhenUsed/>
    <w:qFormat/>
    <w:uiPriority w:val="99"/>
    <w:rPr>
      <w:sz w:val="21"/>
      <w:szCs w:val="21"/>
    </w:rPr>
  </w:style>
  <w:style w:type="character" w:customStyle="1" w:styleId="26">
    <w:name w:val="标题 1 Char"/>
    <w:basedOn w:val="20"/>
    <w:link w:val="2"/>
    <w:qFormat/>
    <w:uiPriority w:val="0"/>
    <w:rPr>
      <w:rFonts w:ascii="Times New Roman" w:hAnsi="Times New Roman" w:eastAsia="宋体" w:cs="Times New Roman"/>
      <w:kern w:val="0"/>
      <w:sz w:val="32"/>
      <w:szCs w:val="20"/>
    </w:rPr>
  </w:style>
  <w:style w:type="character" w:customStyle="1" w:styleId="27">
    <w:name w:val="标题 2 Char"/>
    <w:basedOn w:val="20"/>
    <w:link w:val="3"/>
    <w:qFormat/>
    <w:uiPriority w:val="9"/>
    <w:rPr>
      <w:rFonts w:ascii="Times New Roman" w:hAnsi="Times New Roman" w:eastAsia="黑体" w:cstheme="majorBidi"/>
      <w:bCs/>
      <w:sz w:val="21"/>
      <w:szCs w:val="32"/>
    </w:rPr>
  </w:style>
  <w:style w:type="character" w:customStyle="1" w:styleId="28">
    <w:name w:val="标题 3 Char"/>
    <w:basedOn w:val="20"/>
    <w:link w:val="4"/>
    <w:qFormat/>
    <w:uiPriority w:val="9"/>
    <w:rPr>
      <w:rFonts w:ascii="Times New Roman" w:hAnsi="Times New Roman" w:eastAsia="宋体"/>
      <w:b/>
      <w:bCs/>
      <w:sz w:val="28"/>
      <w:szCs w:val="32"/>
    </w:rPr>
  </w:style>
  <w:style w:type="character" w:customStyle="1" w:styleId="29">
    <w:name w:val="标题 4 Char"/>
    <w:basedOn w:val="20"/>
    <w:link w:val="5"/>
    <w:qFormat/>
    <w:uiPriority w:val="9"/>
    <w:rPr>
      <w:rFonts w:asciiTheme="majorHAnsi" w:hAnsiTheme="majorHAnsi" w:eastAsiaTheme="majorEastAsia" w:cstheme="majorBidi"/>
      <w:b/>
      <w:bCs/>
      <w:sz w:val="28"/>
      <w:szCs w:val="28"/>
    </w:rPr>
  </w:style>
  <w:style w:type="character" w:customStyle="1" w:styleId="30">
    <w:name w:val="页眉 Char"/>
    <w:basedOn w:val="20"/>
    <w:link w:val="12"/>
    <w:qFormat/>
    <w:uiPriority w:val="99"/>
    <w:rPr>
      <w:sz w:val="18"/>
      <w:szCs w:val="18"/>
    </w:rPr>
  </w:style>
  <w:style w:type="character" w:customStyle="1" w:styleId="31">
    <w:name w:val="页脚 Char"/>
    <w:basedOn w:val="20"/>
    <w:link w:val="11"/>
    <w:qFormat/>
    <w:uiPriority w:val="99"/>
    <w:rPr>
      <w:sz w:val="18"/>
      <w:szCs w:val="18"/>
    </w:rPr>
  </w:style>
  <w:style w:type="character" w:customStyle="1" w:styleId="32">
    <w:name w:val="批注框文本 Char"/>
    <w:basedOn w:val="20"/>
    <w:link w:val="10"/>
    <w:qFormat/>
    <w:uiPriority w:val="99"/>
    <w:rPr>
      <w:rFonts w:ascii="Times New Roman" w:hAnsi="Times New Roman" w:eastAsia="宋体"/>
      <w:sz w:val="18"/>
      <w:szCs w:val="18"/>
    </w:rPr>
  </w:style>
  <w:style w:type="paragraph" w:customStyle="1" w:styleId="33">
    <w:name w:val="Default"/>
    <w:qFormat/>
    <w:uiPriority w:val="0"/>
    <w:pPr>
      <w:widowControl w:val="0"/>
      <w:autoSpaceDE w:val="0"/>
      <w:autoSpaceDN w:val="0"/>
      <w:adjustRightInd w:val="0"/>
    </w:pPr>
    <w:rPr>
      <w:rFonts w:ascii="Times New Roman" w:hAnsi="Times New Roman" w:eastAsia="等线" w:cs="Times New Roman"/>
      <w:color w:val="000000"/>
      <w:sz w:val="24"/>
      <w:szCs w:val="24"/>
      <w:lang w:val="en-US" w:eastAsia="zh-CN" w:bidi="ar-SA"/>
    </w:rPr>
  </w:style>
  <w:style w:type="table" w:customStyle="1" w:styleId="34">
    <w:name w:val="Table Normal"/>
    <w:unhideWhenUsed/>
    <w:qFormat/>
    <w:uiPriority w:val="2"/>
    <w:pPr>
      <w:widowControl w:val="0"/>
    </w:pPr>
    <w:rPr>
      <w:sz w:val="22"/>
      <w:lang w:eastAsia="en-US"/>
    </w:rPr>
    <w:tblPr>
      <w:tblCellMar>
        <w:top w:w="0" w:type="dxa"/>
        <w:left w:w="0" w:type="dxa"/>
        <w:bottom w:w="0" w:type="dxa"/>
        <w:right w:w="0" w:type="dxa"/>
      </w:tblCellMar>
    </w:tblPr>
  </w:style>
  <w:style w:type="paragraph" w:customStyle="1" w:styleId="35">
    <w:name w:val="Table Paragraph"/>
    <w:basedOn w:val="1"/>
    <w:qFormat/>
    <w:uiPriority w:val="1"/>
    <w:pPr>
      <w:spacing w:line="240" w:lineRule="auto"/>
      <w:ind w:firstLine="0" w:firstLineChars="0"/>
      <w:jc w:val="left"/>
    </w:pPr>
    <w:rPr>
      <w:rFonts w:ascii="仿宋_GB2312" w:hAnsi="仿宋_GB2312" w:cs="仿宋_GB2312"/>
      <w:kern w:val="0"/>
      <w:sz w:val="22"/>
      <w:lang w:eastAsia="en-US"/>
    </w:rPr>
  </w:style>
  <w:style w:type="paragraph" w:customStyle="1" w:styleId="36">
    <w:name w:val="正文1"/>
    <w:basedOn w:val="1"/>
    <w:link w:val="37"/>
    <w:qFormat/>
    <w:uiPriority w:val="0"/>
    <w:pPr>
      <w:autoSpaceDE w:val="0"/>
      <w:autoSpaceDN w:val="0"/>
      <w:adjustRightInd w:val="0"/>
      <w:jc w:val="left"/>
    </w:pPr>
    <w:rPr>
      <w:rFonts w:cs="Times New Roman"/>
      <w:iCs/>
      <w:kern w:val="0"/>
      <w:szCs w:val="24"/>
    </w:rPr>
  </w:style>
  <w:style w:type="character" w:customStyle="1" w:styleId="37">
    <w:name w:val="正文1 Char"/>
    <w:basedOn w:val="20"/>
    <w:link w:val="36"/>
    <w:qFormat/>
    <w:uiPriority w:val="0"/>
    <w:rPr>
      <w:rFonts w:ascii="Times New Roman" w:hAnsi="Times New Roman" w:eastAsia="宋体" w:cs="Times New Roman"/>
      <w:iCs/>
      <w:kern w:val="0"/>
      <w:sz w:val="24"/>
      <w:szCs w:val="24"/>
    </w:rPr>
  </w:style>
  <w:style w:type="paragraph" w:customStyle="1" w:styleId="38">
    <w:name w:val="表格"/>
    <w:basedOn w:val="1"/>
    <w:link w:val="39"/>
    <w:qFormat/>
    <w:uiPriority w:val="0"/>
    <w:pPr>
      <w:spacing w:line="240" w:lineRule="auto"/>
      <w:ind w:firstLine="0" w:firstLineChars="0"/>
      <w:jc w:val="center"/>
    </w:pPr>
    <w:rPr>
      <w:rFonts w:eastAsia="Times New Roman" w:cs="Times New Roman"/>
      <w:kern w:val="0"/>
      <w:sz w:val="21"/>
      <w:szCs w:val="20"/>
    </w:rPr>
  </w:style>
  <w:style w:type="character" w:customStyle="1" w:styleId="39">
    <w:name w:val="表格 Char"/>
    <w:basedOn w:val="20"/>
    <w:link w:val="38"/>
    <w:qFormat/>
    <w:uiPriority w:val="0"/>
    <w:rPr>
      <w:rFonts w:ascii="Times New Roman" w:hAnsi="Times New Roman" w:eastAsia="Times New Roman" w:cs="Times New Roman"/>
      <w:kern w:val="0"/>
      <w:szCs w:val="20"/>
    </w:rPr>
  </w:style>
  <w:style w:type="paragraph" w:customStyle="1" w:styleId="40">
    <w:name w:val="表标题"/>
    <w:basedOn w:val="1"/>
    <w:link w:val="41"/>
    <w:qFormat/>
    <w:uiPriority w:val="0"/>
    <w:pPr>
      <w:spacing w:beforeLines="50" w:afterLines="50" w:line="240" w:lineRule="auto"/>
      <w:ind w:firstLine="0" w:firstLineChars="0"/>
      <w:jc w:val="center"/>
    </w:pPr>
    <w:rPr>
      <w:rFonts w:eastAsia="黑体" w:cs="Times New Roman"/>
      <w:sz w:val="21"/>
    </w:rPr>
  </w:style>
  <w:style w:type="character" w:customStyle="1" w:styleId="41">
    <w:name w:val="表标题 Char"/>
    <w:basedOn w:val="20"/>
    <w:link w:val="40"/>
    <w:qFormat/>
    <w:uiPriority w:val="0"/>
    <w:rPr>
      <w:rFonts w:ascii="Times New Roman" w:hAnsi="Times New Roman" w:eastAsia="黑体" w:cs="Times New Roman"/>
    </w:rPr>
  </w:style>
  <w:style w:type="paragraph" w:customStyle="1" w:styleId="42">
    <w:name w:val="列出段落1"/>
    <w:basedOn w:val="1"/>
    <w:qFormat/>
    <w:uiPriority w:val="0"/>
    <w:pPr>
      <w:ind w:firstLine="420"/>
    </w:pPr>
    <w:rPr>
      <w:rFonts w:eastAsia="仿宋" w:cs="Times New Roman"/>
      <w:sz w:val="30"/>
      <w:szCs w:val="20"/>
    </w:rPr>
  </w:style>
  <w:style w:type="character" w:customStyle="1" w:styleId="43">
    <w:name w:val="文档结构图 Char"/>
    <w:basedOn w:val="20"/>
    <w:link w:val="7"/>
    <w:semiHidden/>
    <w:qFormat/>
    <w:uiPriority w:val="99"/>
    <w:rPr>
      <w:rFonts w:ascii="Times New Roman" w:hAnsi="Times New Roman" w:eastAsia="仿宋" w:cs="Times New Roman"/>
      <w:sz w:val="24"/>
      <w:szCs w:val="24"/>
    </w:rPr>
  </w:style>
  <w:style w:type="paragraph" w:customStyle="1" w:styleId="44">
    <w:name w:val="顶头"/>
    <w:link w:val="45"/>
    <w:qFormat/>
    <w:uiPriority w:val="0"/>
    <w:pPr>
      <w:jc w:val="center"/>
    </w:pPr>
    <w:rPr>
      <w:rFonts w:ascii="Times New Roman" w:hAnsi="Times New Roman" w:eastAsia="楷体" w:cs="Times New Roman"/>
      <w:kern w:val="2"/>
      <w:sz w:val="21"/>
      <w:szCs w:val="22"/>
      <w:lang w:val="en-US" w:eastAsia="zh-CN" w:bidi="ar-SA"/>
    </w:rPr>
  </w:style>
  <w:style w:type="character" w:customStyle="1" w:styleId="45">
    <w:name w:val="顶头 字符"/>
    <w:link w:val="44"/>
    <w:qFormat/>
    <w:uiPriority w:val="0"/>
    <w:rPr>
      <w:rFonts w:ascii="Times New Roman" w:hAnsi="Times New Roman" w:eastAsia="楷体" w:cs="Times New Roman"/>
    </w:rPr>
  </w:style>
  <w:style w:type="paragraph" w:customStyle="1" w:styleId="46">
    <w:name w:val="顶头标题"/>
    <w:link w:val="47"/>
    <w:qFormat/>
    <w:uiPriority w:val="0"/>
    <w:rPr>
      <w:rFonts w:ascii="Times New Roman" w:hAnsi="Times New Roman" w:eastAsia="楷体" w:cs="Times New Roman"/>
      <w:kern w:val="2"/>
      <w:sz w:val="21"/>
      <w:szCs w:val="22"/>
      <w:lang w:val="en-US" w:eastAsia="zh-CN" w:bidi="ar-SA"/>
    </w:rPr>
  </w:style>
  <w:style w:type="character" w:customStyle="1" w:styleId="47">
    <w:name w:val="顶头标题 字符"/>
    <w:link w:val="46"/>
    <w:qFormat/>
    <w:uiPriority w:val="0"/>
    <w:rPr>
      <w:rFonts w:ascii="Times New Roman" w:hAnsi="Times New Roman" w:eastAsia="楷体" w:cs="Times New Roman"/>
    </w:rPr>
  </w:style>
  <w:style w:type="character" w:customStyle="1" w:styleId="48">
    <w:name w:val="批注文字 Char"/>
    <w:basedOn w:val="20"/>
    <w:link w:val="8"/>
    <w:semiHidden/>
    <w:qFormat/>
    <w:uiPriority w:val="99"/>
    <w:rPr>
      <w:rFonts w:ascii="Times New Roman" w:hAnsi="Times New Roman" w:eastAsia="仿宋" w:cs="Times New Roman"/>
      <w:sz w:val="30"/>
      <w:szCs w:val="20"/>
    </w:rPr>
  </w:style>
  <w:style w:type="character" w:customStyle="1" w:styleId="49">
    <w:name w:val="批注主题 Char"/>
    <w:basedOn w:val="48"/>
    <w:link w:val="17"/>
    <w:semiHidden/>
    <w:qFormat/>
    <w:uiPriority w:val="99"/>
    <w:rPr>
      <w:rFonts w:ascii="Times New Roman" w:hAnsi="Times New Roman" w:eastAsia="仿宋" w:cs="Times New Roman"/>
      <w:b/>
      <w:bCs/>
      <w:sz w:val="30"/>
      <w:szCs w:val="20"/>
    </w:rPr>
  </w:style>
  <w:style w:type="paragraph" w:customStyle="1" w:styleId="50">
    <w:name w:val="列表段落1"/>
    <w:basedOn w:val="1"/>
    <w:link w:val="51"/>
    <w:qFormat/>
    <w:uiPriority w:val="34"/>
    <w:pPr>
      <w:ind w:firstLine="420"/>
      <w:jc w:val="left"/>
    </w:pPr>
    <w:rPr>
      <w:rFonts w:eastAsia="PMingLiU" w:cs="Times New Roman"/>
      <w:szCs w:val="24"/>
      <w:lang w:eastAsia="zh-TW"/>
    </w:rPr>
  </w:style>
  <w:style w:type="character" w:customStyle="1" w:styleId="51">
    <w:name w:val="列出段落 Char"/>
    <w:link w:val="50"/>
    <w:qFormat/>
    <w:uiPriority w:val="34"/>
    <w:rPr>
      <w:rFonts w:ascii="Times New Roman" w:hAnsi="Times New Roman" w:eastAsia="PMingLiU" w:cs="Times New Roman"/>
      <w:sz w:val="24"/>
      <w:szCs w:val="24"/>
      <w:lang w:eastAsia="zh-TW"/>
    </w:rPr>
  </w:style>
  <w:style w:type="paragraph" w:customStyle="1" w:styleId="52">
    <w:name w:val="修订1"/>
    <w:hidden/>
    <w:semiHidden/>
    <w:qFormat/>
    <w:uiPriority w:val="99"/>
    <w:rPr>
      <w:rFonts w:ascii="Times New Roman" w:hAnsi="Times New Roman" w:eastAsia="仿宋_GB2312" w:cstheme="minorBidi"/>
      <w:kern w:val="2"/>
      <w:sz w:val="28"/>
      <w:szCs w:val="22"/>
      <w:lang w:val="en-US" w:eastAsia="zh-CN" w:bidi="ar-SA"/>
    </w:rPr>
  </w:style>
  <w:style w:type="paragraph" w:styleId="53">
    <w:name w:val="No Spacing"/>
    <w:qFormat/>
    <w:uiPriority w:val="1"/>
    <w:pPr>
      <w:widowControl w:val="0"/>
      <w:jc w:val="center"/>
    </w:pPr>
    <w:rPr>
      <w:rFonts w:ascii="Times New Roman" w:hAnsi="Times New Roman" w:eastAsia="黑体" w:cs="Times New Roman"/>
      <w:kern w:val="2"/>
      <w:sz w:val="24"/>
      <w:szCs w:val="22"/>
      <w:lang w:val="en-US" w:eastAsia="zh-CN" w:bidi="ar-SA"/>
    </w:rPr>
  </w:style>
  <w:style w:type="paragraph" w:styleId="54">
    <w:name w:val="List Paragraph"/>
    <w:basedOn w:val="1"/>
    <w:qFormat/>
    <w:uiPriority w:val="34"/>
    <w:pPr>
      <w:ind w:firstLine="420"/>
      <w:jc w:val="left"/>
    </w:pPr>
    <w:rPr>
      <w:rFonts w:eastAsia="PMingLiU" w:cs="Times New Roman"/>
      <w:sz w:val="24"/>
      <w:szCs w:val="24"/>
      <w:lang w:eastAsia="zh-TW"/>
    </w:rPr>
  </w:style>
  <w:style w:type="character" w:customStyle="1" w:styleId="55">
    <w:name w:val="正文文本 Char"/>
    <w:basedOn w:val="20"/>
    <w:link w:val="9"/>
    <w:semiHidden/>
    <w:qFormat/>
    <w:uiPriority w:val="99"/>
    <w:rPr>
      <w:rFonts w:ascii="Times New Roman" w:hAnsi="Times New Roman" w:eastAsia="仿宋_GB2312"/>
      <w:kern w:val="2"/>
      <w:sz w:val="28"/>
      <w:szCs w:val="22"/>
    </w:rPr>
  </w:style>
  <w:style w:type="paragraph" w:customStyle="1" w:styleId="56">
    <w:name w:val="附录表标题"/>
    <w:next w:val="1"/>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57">
    <w:name w:val="修订2"/>
    <w:hidden/>
    <w:semiHidden/>
    <w:qFormat/>
    <w:uiPriority w:val="99"/>
    <w:rPr>
      <w:rFonts w:ascii="Times New Roman" w:hAnsi="Times New Roman" w:eastAsia="仿宋_GB2312" w:cstheme="minorBidi"/>
      <w:kern w:val="2"/>
      <w:sz w:val="28"/>
      <w:szCs w:val="22"/>
      <w:lang w:val="en-US" w:eastAsia="zh-CN" w:bidi="ar-SA"/>
    </w:rPr>
  </w:style>
  <w:style w:type="paragraph" w:customStyle="1" w:styleId="58">
    <w:name w:val="WPSOffice手动目录 1"/>
    <w:qFormat/>
    <w:uiPriority w:val="0"/>
    <w:rPr>
      <w:rFonts w:ascii="Times New Roman" w:hAnsi="Times New Roman" w:eastAsia="宋体" w:cs="Times New Roman"/>
      <w:lang w:val="en-US" w:eastAsia="zh-CN" w:bidi="ar-SA"/>
    </w:rPr>
  </w:style>
  <w:style w:type="paragraph" w:customStyle="1" w:styleId="59">
    <w:name w:val="目次、标准名称标题"/>
    <w:basedOn w:val="1"/>
    <w:next w:val="60"/>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60">
    <w:name w:val="段"/>
    <w:qFormat/>
    <w:uiPriority w:val="0"/>
    <w:pPr>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1">
    <w:name w:val="UserStyle_78"/>
    <w:next w:val="62"/>
    <w:qFormat/>
    <w:uiPriority w:val="0"/>
    <w:pPr>
      <w:keepNext/>
      <w:pageBreakBefore/>
      <w:shd w:val="clear" w:color="auto" w:fill="FFFFFF"/>
      <w:spacing w:before="640" w:after="560"/>
      <w:jc w:val="center"/>
      <w:textAlignment w:val="baseline"/>
    </w:pPr>
    <w:rPr>
      <w:rFonts w:ascii="黑体" w:hAnsi="Times New Roman" w:eastAsia="黑体" w:cs="Times New Roman"/>
      <w:sz w:val="32"/>
      <w:lang w:val="en-US" w:eastAsia="zh-CN" w:bidi="ar-SA"/>
    </w:rPr>
  </w:style>
  <w:style w:type="paragraph" w:customStyle="1" w:styleId="62">
    <w:name w:val="UserStyle_7"/>
    <w:qFormat/>
    <w:uiPriority w:val="0"/>
    <w:pPr>
      <w:ind w:firstLine="420" w:firstLineChars="200"/>
      <w:jc w:val="both"/>
      <w:textAlignment w:val="baseline"/>
    </w:pPr>
    <w:rPr>
      <w:rFonts w:ascii="宋体" w:hAnsi="Times New Roman" w:eastAsia="宋体" w:cs="Times New Roman"/>
      <w:sz w:val="21"/>
      <w:lang w:val="en-US" w:eastAsia="zh-CN" w:bidi="ar-SA"/>
    </w:rPr>
  </w:style>
  <w:style w:type="character" w:customStyle="1" w:styleId="63">
    <w:name w:val="NormalCharacter"/>
    <w:semiHidden/>
    <w:qFormat/>
    <w:uiPriority w:val="0"/>
  </w:style>
  <w:style w:type="paragraph" w:customStyle="1" w:styleId="64">
    <w:name w:val="UserStyle_98"/>
    <w:next w:val="62"/>
    <w:qFormat/>
    <w:uiPriority w:val="0"/>
    <w:pPr>
      <w:numPr>
        <w:ilvl w:val="0"/>
        <w:numId w:val="1"/>
      </w:numPr>
      <w:spacing w:before="312" w:after="312"/>
      <w:jc w:val="both"/>
    </w:pPr>
    <w:rPr>
      <w:rFonts w:ascii="黑体" w:hAnsi="Times New Roman" w:eastAsia="黑体" w:cs="Times New Roman"/>
      <w:sz w:val="21"/>
      <w:lang w:val="en-US" w:eastAsia="zh-CN" w:bidi="ar-SA"/>
    </w:rPr>
  </w:style>
  <w:style w:type="paragraph" w:customStyle="1" w:styleId="65">
    <w:name w:val="UserStyle_25"/>
    <w:next w:val="62"/>
    <w:qFormat/>
    <w:uiPriority w:val="0"/>
    <w:pPr>
      <w:numPr>
        <w:ilvl w:val="1"/>
        <w:numId w:val="2"/>
      </w:numPr>
      <w:spacing w:before="156" w:after="156"/>
    </w:pPr>
    <w:rPr>
      <w:rFonts w:ascii="黑体" w:hAnsi="Times New Roman" w:eastAsia="黑体" w:cs="Times New Roman"/>
      <w:sz w:val="21"/>
      <w:szCs w:val="21"/>
      <w:lang w:val="en-US" w:eastAsia="zh-CN" w:bidi="ar-SA"/>
    </w:rPr>
  </w:style>
  <w:style w:type="paragraph" w:customStyle="1" w:styleId="66">
    <w:name w:val="UserStyle_24"/>
    <w:basedOn w:val="65"/>
    <w:next w:val="62"/>
    <w:qFormat/>
    <w:uiPriority w:val="0"/>
    <w:pPr>
      <w:numPr>
        <w:ilvl w:val="2"/>
      </w:numPr>
      <w:spacing w:before="50" w:after="50"/>
    </w:pPr>
  </w:style>
  <w:style w:type="paragraph" w:customStyle="1" w:styleId="67">
    <w:name w:val="UserStyle_19"/>
    <w:next w:val="62"/>
    <w:qFormat/>
    <w:uiPriority w:val="0"/>
    <w:pPr>
      <w:numPr>
        <w:ilvl w:val="0"/>
        <w:numId w:val="3"/>
      </w:numPr>
      <w:spacing w:before="156" w:after="156"/>
      <w:jc w:val="center"/>
    </w:pPr>
    <w:rPr>
      <w:rFonts w:ascii="黑体"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C6E0F8-19E9-4445-83B0-EC4175AD16C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48</Pages>
  <Words>25165</Words>
  <Characters>27074</Characters>
  <Lines>249</Lines>
  <Paragraphs>70</Paragraphs>
  <TotalTime>477</TotalTime>
  <ScaleCrop>false</ScaleCrop>
  <LinksUpToDate>false</LinksUpToDate>
  <CharactersWithSpaces>28393</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2020-04-26T14:37:00Z</dcterms:created>
  <dc:creator>Cui Guannan</dc:creator>
  <cp:lastModifiedBy>韦姗泉</cp:lastModifiedBy>
  <cp:lastPrinted>2021-05-10T02:50:00Z</cp:lastPrinted>
  <dcterms:modified xsi:type="dcterms:W3CDTF">2021-07-22T07:22:05Z</dcterms:modified>
  <cp:revision>686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130637D93B5C4A9A90EB2C4023DCBD73</vt:lpwstr>
  </property>
</Properties>
</file>