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Times New Roman Regular" w:hAnsi="Times New Roman Regular" w:eastAsia="黑体" w:cs="Times New Roman Regular"/>
          <w:snapToGrid w:val="0"/>
          <w:sz w:val="32"/>
          <w:szCs w:val="32"/>
        </w:rPr>
      </w:pPr>
      <w:bookmarkStart w:id="0" w:name="_GoBack"/>
      <w:r>
        <w:rPr>
          <w:rFonts w:ascii="Times New Roman Regular" w:hAnsi="Times New Roman Regular" w:eastAsia="黑体" w:cs="Times New Roman Regular"/>
          <w:snapToGrid w:val="0"/>
          <w:sz w:val="32"/>
          <w:szCs w:val="32"/>
        </w:rPr>
        <w:t>附件3</w:t>
      </w:r>
    </w:p>
    <w:p>
      <w:pPr>
        <w:adjustRightInd w:val="0"/>
        <w:snapToGrid w:val="0"/>
        <w:spacing w:before="405" w:beforeLines="130" w:after="405" w:afterLines="130" w:line="560" w:lineRule="exact"/>
        <w:jc w:val="left"/>
        <w:rPr>
          <w:rFonts w:ascii="Times New Roman Regular" w:hAnsi="Times New Roman Regular" w:eastAsia="黑体" w:cs="Times New Roman Regular"/>
          <w:snapToGrid w:val="0"/>
          <w:sz w:val="32"/>
          <w:szCs w:val="32"/>
        </w:rPr>
      </w:pPr>
    </w:p>
    <w:p>
      <w:pPr>
        <w:adjustRightInd w:val="0"/>
        <w:snapToGrid w:val="0"/>
        <w:spacing w:before="405" w:beforeLines="130" w:after="405" w:afterLines="130" w:line="560" w:lineRule="exact"/>
        <w:jc w:val="left"/>
        <w:rPr>
          <w:rFonts w:ascii="Times New Roman Regular" w:hAnsi="Times New Roman Regular" w:eastAsia="黑体" w:cs="Times New Roman Regular"/>
          <w:snapToGrid w:val="0"/>
          <w:sz w:val="32"/>
          <w:szCs w:val="32"/>
        </w:rPr>
      </w:pPr>
    </w:p>
    <w:p>
      <w:pPr>
        <w:adjustRightInd w:val="0"/>
        <w:snapToGrid w:val="0"/>
        <w:spacing w:line="530" w:lineRule="exact"/>
        <w:ind w:firstLine="2173" w:firstLineChars="494"/>
        <w:rPr>
          <w:rFonts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2023年全区</w:t>
      </w:r>
      <w:r>
        <w:rPr>
          <w:rFonts w:hint="eastAsia" w:ascii="方正小标宋_GBK" w:hAnsi="方正小标宋_GBK" w:eastAsia="方正小标宋_GBK" w:cs="方正小标宋_GBK"/>
          <w:kern w:val="32"/>
          <w:sz w:val="44"/>
          <w:szCs w:val="44"/>
          <w:lang w:eastAsia="zh-CN"/>
        </w:rPr>
        <w:t>政府网站与政务新媒体</w:t>
      </w:r>
      <w:r>
        <w:rPr>
          <w:rFonts w:hint="eastAsia" w:ascii="方正小标宋_GBK" w:hAnsi="方正小标宋_GBK" w:eastAsia="方正小标宋_GBK" w:cs="方正小标宋_GBK"/>
          <w:kern w:val="32"/>
          <w:sz w:val="44"/>
          <w:szCs w:val="44"/>
        </w:rPr>
        <w:t>绩效评估指标</w:t>
      </w:r>
    </w:p>
    <w:bookmarkEnd w:id="0"/>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r>
        <w:rPr>
          <w:rFonts w:ascii="Times New Roman Regular" w:hAnsi="Times New Roman Regular" w:eastAsia="黑体" w:cs="Times New Roman Regular"/>
          <w:snapToGrid w:val="0"/>
          <w:sz w:val="32"/>
          <w:szCs w:val="32"/>
        </w:rPr>
        <w:t>一、自治区部门</w:t>
      </w:r>
      <w:r>
        <w:rPr>
          <w:rFonts w:hint="eastAsia" w:ascii="Times New Roman Regular" w:hAnsi="Times New Roman Regular" w:eastAsia="黑体" w:cs="Times New Roman Regular"/>
          <w:snapToGrid w:val="0"/>
          <w:sz w:val="32"/>
          <w:szCs w:val="32"/>
          <w:lang w:val="en-US" w:eastAsia="zh-CN"/>
        </w:rPr>
        <w:t>网站</w:t>
      </w:r>
      <w:r>
        <w:rPr>
          <w:rFonts w:ascii="Times New Roman Regular" w:hAnsi="Times New Roman Regular" w:eastAsia="黑体" w:cs="Times New Roman Regular"/>
          <w:snapToGrid w:val="0"/>
          <w:sz w:val="32"/>
          <w:szCs w:val="32"/>
        </w:rPr>
        <w:t>评估指标</w:t>
      </w:r>
    </w:p>
    <w:tbl>
      <w:tblPr>
        <w:tblStyle w:val="5"/>
        <w:tblW w:w="13173"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4"/>
        <w:gridCol w:w="1134"/>
        <w:gridCol w:w="1134"/>
        <w:gridCol w:w="709"/>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trPr>
        <w:tc>
          <w:tcPr>
            <w:tcW w:w="1124"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一级指标</w:t>
            </w:r>
          </w:p>
        </w:tc>
        <w:tc>
          <w:tcPr>
            <w:tcW w:w="1134"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二级指标</w:t>
            </w:r>
          </w:p>
        </w:tc>
        <w:tc>
          <w:tcPr>
            <w:tcW w:w="1134"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三级指标</w:t>
            </w:r>
          </w:p>
        </w:tc>
        <w:tc>
          <w:tcPr>
            <w:tcW w:w="709"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权重</w:t>
            </w:r>
          </w:p>
        </w:tc>
        <w:tc>
          <w:tcPr>
            <w:tcW w:w="9072" w:type="dxa"/>
            <w:tcBorders>
              <w:tl2br w:val="nil"/>
              <w:tr2bl w:val="nil"/>
            </w:tcBorders>
            <w:noWrap w:val="0"/>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评估内容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r>
              <w:rPr>
                <w:rFonts w:hint="eastAsia" w:ascii="仿宋_GB2312" w:hAnsi="等线" w:cs="宋体"/>
                <w:kern w:val="0"/>
                <w:sz w:val="21"/>
                <w:szCs w:val="21"/>
              </w:rPr>
              <w:t>发布解读（44</w:t>
            </w:r>
            <w:r>
              <w:rPr>
                <w:rFonts w:hint="eastAsia" w:ascii="仿宋_GB2312" w:hAnsi="等线" w:cs="宋体"/>
                <w:kern w:val="0"/>
                <w:sz w:val="21"/>
                <w:szCs w:val="21"/>
                <w:lang w:val="en-US" w:eastAsia="zh-CN"/>
              </w:rPr>
              <w:t>分</w:t>
            </w:r>
            <w:r>
              <w:rPr>
                <w:rFonts w:hint="eastAsia" w:ascii="仿宋_GB2312" w:hAnsi="等线" w:cs="宋体"/>
                <w:kern w:val="0"/>
                <w:sz w:val="21"/>
                <w:szCs w:val="21"/>
              </w:rPr>
              <w:t>）</w:t>
            </w:r>
          </w:p>
          <w:p>
            <w:pPr>
              <w:pStyle w:val="2"/>
              <w:rPr>
                <w:rFonts w:hint="eastAsia"/>
              </w:rPr>
            </w:pPr>
          </w:p>
          <w:p>
            <w:pPr>
              <w:pStyle w:val="3"/>
              <w:spacing w:line="240" w:lineRule="auto"/>
              <w:rPr>
                <w:rFonts w:hint="eastAsia"/>
              </w:rPr>
            </w:pPr>
          </w:p>
          <w:p>
            <w:pPr>
              <w:spacing w:line="240" w:lineRule="auto"/>
              <w:rPr>
                <w:rFonts w:hint="eastAsia"/>
              </w:rPr>
            </w:pPr>
          </w:p>
          <w:p>
            <w:pPr>
              <w:pStyle w:val="2"/>
              <w:rPr>
                <w:rFonts w:hint="eastAsia"/>
              </w:rPr>
            </w:pPr>
          </w:p>
          <w:p>
            <w:pPr>
              <w:pStyle w:val="3"/>
              <w:spacing w:line="240" w:lineRule="auto"/>
              <w:rPr>
                <w:rFonts w:hint="eastAsia"/>
              </w:rPr>
            </w:pPr>
          </w:p>
          <w:p>
            <w:pPr>
              <w:spacing w:line="240" w:lineRule="auto"/>
              <w:rPr>
                <w:rFonts w:hint="eastAsia"/>
              </w:rPr>
            </w:pPr>
          </w:p>
          <w:p>
            <w:pPr>
              <w:pStyle w:val="2"/>
              <w:rPr>
                <w:rFonts w:hint="eastAsia"/>
              </w:rPr>
            </w:pPr>
          </w:p>
          <w:p>
            <w:pPr>
              <w:pStyle w:val="3"/>
              <w:spacing w:line="240" w:lineRule="auto"/>
              <w:rPr>
                <w:rFonts w:hint="eastAsia"/>
              </w:rPr>
            </w:pPr>
          </w:p>
          <w:p>
            <w:pPr>
              <w:pStyle w:val="3"/>
              <w:spacing w:line="240" w:lineRule="auto"/>
              <w:jc w:val="both"/>
              <w:rPr>
                <w:rFonts w:hint="eastAsia"/>
              </w:rPr>
            </w:pPr>
          </w:p>
          <w:p>
            <w:pPr>
              <w:pStyle w:val="3"/>
              <w:spacing w:line="240" w:lineRule="auto"/>
              <w:jc w:val="both"/>
              <w:rPr>
                <w:rFonts w:hint="eastAsia"/>
              </w:rPr>
            </w:pPr>
          </w:p>
          <w:p>
            <w:pPr>
              <w:pStyle w:val="3"/>
              <w:spacing w:line="240" w:lineRule="auto"/>
              <w:jc w:val="both"/>
              <w:rPr>
                <w:rFonts w:hint="eastAsia"/>
              </w:rPr>
            </w:pPr>
          </w:p>
          <w:p>
            <w:pPr>
              <w:pStyle w:val="3"/>
              <w:spacing w:line="240" w:lineRule="auto"/>
              <w:jc w:val="both"/>
              <w:rPr>
                <w:rFonts w:hint="eastAsia"/>
              </w:rPr>
            </w:pPr>
          </w:p>
          <w:p>
            <w:pPr>
              <w:spacing w:line="240" w:lineRule="auto"/>
              <w:jc w:val="center"/>
            </w:pPr>
            <w:r>
              <w:rPr>
                <w:rFonts w:hint="eastAsia" w:ascii="仿宋_GB2312" w:hAnsi="等线" w:eastAsia="仿宋_GB2312" w:cs="宋体"/>
                <w:kern w:val="0"/>
                <w:sz w:val="21"/>
                <w:szCs w:val="21"/>
              </w:rPr>
              <w:t>发布解读（44</w:t>
            </w:r>
            <w:r>
              <w:rPr>
                <w:rFonts w:hint="eastAsia" w:ascii="仿宋_GB2312" w:hAnsi="等线" w:cs="宋体"/>
                <w:kern w:val="0"/>
                <w:sz w:val="21"/>
                <w:szCs w:val="21"/>
                <w:lang w:val="en-US" w:eastAsia="zh-CN"/>
              </w:rPr>
              <w:t>分</w:t>
            </w:r>
            <w:r>
              <w:rPr>
                <w:rFonts w:hint="eastAsia" w:ascii="仿宋_GB2312" w:hAnsi="等线" w:eastAsia="仿宋_GB2312" w:cs="宋体"/>
                <w:kern w:val="0"/>
                <w:sz w:val="21"/>
                <w:szCs w:val="21"/>
              </w:rPr>
              <w:t>）</w:t>
            </w:r>
          </w:p>
        </w:tc>
        <w:tc>
          <w:tcPr>
            <w:tcW w:w="1134" w:type="dxa"/>
            <w:vMerge w:val="restart"/>
            <w:tcBorders>
              <w:tl2br w:val="nil"/>
              <w:tr2bl w:val="nil"/>
            </w:tcBorders>
            <w:noWrap w:val="0"/>
            <w:vAlign w:val="center"/>
          </w:tcPr>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r>
              <w:rPr>
                <w:rFonts w:hint="eastAsia" w:ascii="仿宋_GB2312" w:hAnsi="等线" w:eastAsia="仿宋_GB2312" w:cs="宋体"/>
                <w:kern w:val="0"/>
                <w:szCs w:val="21"/>
              </w:rPr>
              <w:t>主动公开（各部门考核范围详见附录1）</w:t>
            </w:r>
          </w:p>
          <w:p>
            <w:pPr>
              <w:pStyle w:val="3"/>
              <w:rPr>
                <w:rFonts w:hint="eastAsia" w:ascii="仿宋_GB2312" w:hAnsi="等线" w:eastAsia="仿宋_GB2312" w:cs="宋体"/>
                <w:kern w:val="0"/>
                <w:szCs w:val="21"/>
              </w:rPr>
            </w:pPr>
          </w:p>
          <w:p>
            <w:pPr>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rPr>
                <w:rFonts w:hint="default"/>
              </w:rPr>
            </w:pPr>
          </w:p>
          <w:p>
            <w:pPr>
              <w:pStyle w:val="2"/>
            </w:pPr>
            <w:r>
              <w:rPr>
                <w:rFonts w:hint="eastAsia" w:ascii="仿宋_GB2312" w:hAnsi="等线" w:eastAsia="仿宋_GB2312" w:cs="宋体"/>
                <w:kern w:val="0"/>
                <w:sz w:val="21"/>
                <w:szCs w:val="21"/>
              </w:rPr>
              <w:t>主动公开（各部门考核范围详见附录1）</w:t>
            </w:r>
          </w:p>
        </w:tc>
        <w:tc>
          <w:tcPr>
            <w:tcW w:w="1134" w:type="dxa"/>
            <w:vMerge w:val="restart"/>
            <w:tcBorders>
              <w:tl2br w:val="nil"/>
              <w:tr2bl w:val="nil"/>
            </w:tcBorders>
            <w:noWrap/>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基础信息</w:t>
            </w:r>
          </w:p>
        </w:tc>
        <w:tc>
          <w:tcPr>
            <w:tcW w:w="709" w:type="dxa"/>
            <w:vMerge w:val="restart"/>
            <w:tcBorders>
              <w:tl2br w:val="nil"/>
              <w:tr2bl w:val="nil"/>
            </w:tcBorders>
            <w:noWrap/>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15</w:t>
            </w: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eastAsia="仿宋_GB2312" w:cs="宋体"/>
                <w:kern w:val="0"/>
                <w:sz w:val="21"/>
                <w:szCs w:val="21"/>
              </w:rPr>
              <w:t>参照考核要点考核各部门机构职能、领导信息、政务动态、政策文件、人事信息、规划计划、财政信息、数据发布等基础信息公开栏目建设和内容维护情况：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栏目体系是否合理，是否按照用户使用习惯或业务逻辑分类设置栏目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政府信息公开专栏内容是否符合政府信息公开条例第二十条要求。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重点信息</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参照考核要点考核各部门重大建设项目批准和实施领域、公共资源配置领域、社会公益事业建设领域等重点领域信息公开栏目建设和内容维护情况：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栏目体系是否合理，是否按照用户使用习惯或业务逻辑分类设置栏目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注：不涉及重点领域信息公开考核且不存在额外扣分情形的部门，该指标不加分，且分值平均分配到其他主动公开指标中。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jc w:val="center"/>
              <w:rPr>
                <w:rFonts w:ascii="仿宋_GB2312" w:hAnsi="等线" w:eastAsia="仿宋_GB2312" w:cs="宋体"/>
                <w:kern w:val="0"/>
                <w:szCs w:val="21"/>
              </w:rPr>
            </w:pPr>
            <w:r>
              <w:rPr>
                <w:rFonts w:hint="eastAsia" w:ascii="仿宋_GB2312" w:hAnsi="等线" w:eastAsia="仿宋_GB2312" w:cs="宋体"/>
                <w:kern w:val="0"/>
                <w:sz w:val="21"/>
                <w:szCs w:val="21"/>
              </w:rPr>
              <w:t>政策解读</w:t>
            </w:r>
          </w:p>
        </w:tc>
        <w:tc>
          <w:tcPr>
            <w:tcW w:w="709" w:type="dxa"/>
            <w:vMerge w:val="restart"/>
            <w:tcBorders>
              <w:tl2br w:val="nil"/>
              <w:tr2bl w:val="nil"/>
            </w:tcBorders>
            <w:noWrap/>
            <w:vAlign w:val="center"/>
          </w:tcPr>
          <w:p>
            <w:pPr>
              <w:widowControl/>
              <w:jc w:val="center"/>
              <w:rPr>
                <w:rFonts w:ascii="仿宋_GB2312" w:hAnsi="等线" w:eastAsia="仿宋_GB2312" w:cs="宋体"/>
                <w:kern w:val="0"/>
                <w:szCs w:val="21"/>
              </w:rPr>
            </w:pPr>
            <w:r>
              <w:rPr>
                <w:rFonts w:hint="eastAsia" w:ascii="仿宋_GB2312" w:hAnsi="等线" w:eastAsia="仿宋_GB2312" w:cs="宋体"/>
                <w:kern w:val="0"/>
                <w:sz w:val="21"/>
                <w:szCs w:val="21"/>
              </w:rPr>
              <w:t>5</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本部门通过政府网站开展政策解读的情况：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网站对本部门政策文件的解读比例和解读形式（如图形图表、音视频、新闻发布会等形式）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额外加分：部门负责人对政策文件进行解读的。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额外扣分：存在突击发布或弄虚作假情况、信息噪音占据栏目主要内容的。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注：本年度本部门未发布需解读的政策文件且不存在额外扣分情形的部门，该指标不加分，且分值平均分配到其他主动公开指标中。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jc w:val="center"/>
              <w:rPr>
                <w:rFonts w:ascii="仿宋_GB2312" w:hAnsi="等线" w:eastAsia="仿宋_GB2312" w:cs="宋体"/>
                <w:kern w:val="0"/>
                <w:szCs w:val="21"/>
              </w:rPr>
            </w:pPr>
            <w:r>
              <w:rPr>
                <w:rFonts w:hint="eastAsia" w:ascii="仿宋_GB2312" w:hAnsi="等线" w:eastAsia="仿宋_GB2312" w:cs="宋体"/>
                <w:kern w:val="0"/>
                <w:sz w:val="21"/>
                <w:szCs w:val="21"/>
              </w:rPr>
              <w:t>特色栏目</w:t>
            </w:r>
          </w:p>
        </w:tc>
        <w:tc>
          <w:tcPr>
            <w:tcW w:w="1134" w:type="dxa"/>
            <w:vMerge w:val="restart"/>
            <w:tcBorders>
              <w:tl2br w:val="nil"/>
              <w:tr2bl w:val="nil"/>
            </w:tcBorders>
            <w:noWrap/>
            <w:vAlign w:val="center"/>
          </w:tcPr>
          <w:p>
            <w:pPr>
              <w:widowControl/>
              <w:jc w:val="center"/>
              <w:rPr>
                <w:rFonts w:ascii="仿宋_GB2312" w:hAnsi="等线" w:eastAsia="仿宋_GB2312" w:cs="宋体"/>
                <w:kern w:val="0"/>
                <w:szCs w:val="21"/>
              </w:rPr>
            </w:pPr>
            <w:r>
              <w:rPr>
                <w:rFonts w:hint="eastAsia" w:ascii="仿宋_GB2312" w:hAnsi="等线" w:eastAsia="仿宋_GB2312" w:cs="宋体"/>
                <w:kern w:val="0"/>
                <w:sz w:val="21"/>
                <w:szCs w:val="21"/>
              </w:rPr>
              <w:t>业务专题</w:t>
            </w:r>
          </w:p>
        </w:tc>
        <w:tc>
          <w:tcPr>
            <w:tcW w:w="709" w:type="dxa"/>
            <w:vMerge w:val="restart"/>
            <w:tcBorders>
              <w:tl2br w:val="nil"/>
              <w:tr2bl w:val="nil"/>
            </w:tcBorders>
            <w:noWrap/>
            <w:vAlign w:val="center"/>
          </w:tcPr>
          <w:p>
            <w:pPr>
              <w:widowControl/>
              <w:jc w:val="center"/>
              <w:rPr>
                <w:rFonts w:ascii="仿宋_GB2312" w:hAnsi="等线" w:eastAsia="仿宋_GB2312" w:cs="宋体"/>
                <w:kern w:val="0"/>
                <w:szCs w:val="21"/>
              </w:rPr>
            </w:pPr>
            <w:r>
              <w:rPr>
                <w:rFonts w:hint="eastAsia" w:ascii="仿宋_GB2312" w:hAnsi="等线" w:eastAsia="仿宋_GB2312" w:cs="宋体"/>
                <w:kern w:val="0"/>
                <w:sz w:val="21"/>
                <w:szCs w:val="21"/>
              </w:rPr>
              <w:t>12</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围绕本部门核心业务职能策划相关专题专栏综合提供业务相关的政策依据、行业标准、知识库、在线查询、办事服务等各类资源的情况：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1.业务专题是否对资源进行整合并分类展现（是否分类聚合动态、政策、标准、互动、服务、查询等四类以上资源）</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2.栏目功能实现情况，如名单名录等是否以查询等形式展现</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ascii="仿宋_GB2312" w:hAnsi="等线" w:eastAsia="仿宋_GB2312" w:cs="宋体"/>
                <w:kern w:val="0"/>
                <w:szCs w:val="21"/>
              </w:rPr>
            </w:pPr>
            <w:r>
              <w:rPr>
                <w:rFonts w:hint="eastAsia" w:ascii="仿宋_GB2312" w:hAnsi="等线" w:cs="宋体"/>
                <w:kern w:val="0"/>
                <w:sz w:val="21"/>
                <w:szCs w:val="21"/>
                <w:lang w:val="en-US" w:eastAsia="zh-CN"/>
              </w:rPr>
              <w:t>3</w:t>
            </w:r>
            <w:r>
              <w:rPr>
                <w:rFonts w:hint="eastAsia" w:ascii="仿宋_GB2312" w:hAnsi="等线" w:eastAsia="仿宋_GB2312" w:cs="宋体"/>
                <w:kern w:val="0"/>
                <w:sz w:val="21"/>
                <w:szCs w:val="21"/>
              </w:rPr>
              <w:t>.</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额外扣分：存在突击发布或弄虚作假情况、信息噪音占据栏目主要内容的。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政务服务</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（12分）</w:t>
            </w:r>
          </w:p>
          <w:p>
            <w:pPr>
              <w:pStyle w:val="2"/>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政务服务</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（12分）</w:t>
            </w:r>
          </w:p>
          <w:p>
            <w:pPr>
              <w:pStyle w:val="3"/>
              <w:spacing w:line="240" w:lineRule="auto"/>
              <w:jc w:val="both"/>
              <w:rPr>
                <w:rFonts w:hint="eastAsia"/>
              </w:rPr>
            </w:pPr>
          </w:p>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办事指南</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办事指南的规范性、准确性：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办事指南要素的规范性，与</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桂通办</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平台政务服务事项实施清单同源一致性</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办事指南要素内容、办理流程、办理材料、表格下载等内容的准确性。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b w:val="0"/>
                <w:bCs w:val="0"/>
                <w:kern w:val="0"/>
                <w:sz w:val="21"/>
                <w:szCs w:val="21"/>
              </w:rPr>
            </w:pPr>
            <w:r>
              <w:rPr>
                <w:rFonts w:hint="eastAsia" w:ascii="仿宋_GB2312" w:hAnsi="等线" w:eastAsia="仿宋_GB2312" w:cs="宋体"/>
                <w:b w:val="0"/>
                <w:bCs w:val="0"/>
                <w:kern w:val="0"/>
                <w:sz w:val="21"/>
                <w:szCs w:val="21"/>
              </w:rPr>
              <w:t>注：无政务服务职能的部门，该项分值转移到便民查询服务指标。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网办深度</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本部门实现全程网办事项数量占比。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b w:val="0"/>
                <w:bCs w:val="0"/>
                <w:kern w:val="0"/>
                <w:sz w:val="21"/>
                <w:szCs w:val="21"/>
              </w:rPr>
            </w:pPr>
            <w:r>
              <w:rPr>
                <w:rFonts w:hint="eastAsia" w:ascii="仿宋_GB2312" w:hAnsi="等线" w:eastAsia="仿宋_GB2312" w:cs="宋体"/>
                <w:b w:val="0"/>
                <w:bCs w:val="0"/>
                <w:kern w:val="0"/>
                <w:sz w:val="21"/>
                <w:szCs w:val="21"/>
              </w:rPr>
              <w:t>注：无政务服务职能的部门，该项分值转移到便民查询服务指标。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便民查询服务</w:t>
            </w:r>
          </w:p>
        </w:tc>
        <w:tc>
          <w:tcPr>
            <w:tcW w:w="709"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10</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围绕业务职能提供便民查询服务的情况（详见附录2）：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1.附件2中的便民查询服务提供比例</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2.查询服务的提供形式（分数由低到高依次为：上级名单名录/上级查询系统/本级名单名录/本级查询系统/本级检索系统）</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额外加分：栏目设计新颖，查询内容贴合本部门实际、采用地图或图形化等高级查询方式的。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额外扣分：存在提供查询但不可用，以及其他弄虚作假情况的。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互动交流</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（8分）</w:t>
            </w:r>
          </w:p>
          <w:p>
            <w:pPr>
              <w:pStyle w:val="2"/>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both"/>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互动交流</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（8分）</w:t>
            </w:r>
          </w:p>
          <w:p>
            <w:pPr>
              <w:pStyle w:val="3"/>
              <w:spacing w:line="240" w:lineRule="auto"/>
              <w:rPr>
                <w:rFonts w:hint="eastAsia"/>
              </w:rPr>
            </w:pPr>
          </w:p>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咨询互动</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网站咨询互动渠道的实效性：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1.通过模拟用户进行简单问题提问检查网站是否在咨询后5个工作日内答复且内容准确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2.留言统计信息的更新情况：实时更新/月度更新/月度以上。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额外扣分：留言统计数据弄虚作假、模拟用户提出的简单问题超过10个工作日未答复或答复内容存在敷衍塞责情况的。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pStyle w:val="3"/>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民意征集</w:t>
            </w:r>
          </w:p>
          <w:p>
            <w:pPr>
              <w:pStyle w:val="2"/>
              <w:jc w:val="center"/>
              <w:rPr>
                <w:rFonts w:hint="eastAsia"/>
              </w:rPr>
            </w:pPr>
          </w:p>
          <w:p>
            <w:pPr>
              <w:pStyle w:val="3"/>
              <w:jc w:val="center"/>
              <w:rPr>
                <w:rFonts w:hint="eastAsia" w:ascii="仿宋_GB2312" w:hAnsi="等线" w:eastAsia="仿宋_GB2312" w:cs="宋体"/>
                <w:kern w:val="0"/>
                <w:sz w:val="21"/>
                <w:szCs w:val="21"/>
              </w:rPr>
            </w:pPr>
          </w:p>
          <w:p>
            <w:pPr>
              <w:pStyle w:val="3"/>
              <w:jc w:val="center"/>
              <w:rPr>
                <w:rFonts w:hint="eastAsia" w:ascii="仿宋_GB2312" w:hAnsi="等线" w:eastAsia="仿宋_GB2312" w:cs="宋体"/>
                <w:kern w:val="0"/>
                <w:sz w:val="21"/>
                <w:szCs w:val="21"/>
              </w:rPr>
            </w:pPr>
          </w:p>
          <w:p>
            <w:pPr>
              <w:pStyle w:val="3"/>
              <w:jc w:val="center"/>
              <w:rPr>
                <w:rFonts w:hint="eastAsia"/>
              </w:rPr>
            </w:pPr>
            <w:r>
              <w:rPr>
                <w:rFonts w:hint="eastAsia" w:ascii="仿宋_GB2312" w:hAnsi="等线" w:eastAsia="仿宋_GB2312" w:cs="宋体"/>
                <w:kern w:val="0"/>
                <w:sz w:val="21"/>
                <w:szCs w:val="21"/>
              </w:rPr>
              <w:t>民意征集</w:t>
            </w:r>
          </w:p>
        </w:tc>
        <w:tc>
          <w:tcPr>
            <w:tcW w:w="709" w:type="dxa"/>
            <w:vMerge w:val="restart"/>
            <w:tcBorders>
              <w:tl2br w:val="nil"/>
              <w:tr2bl w:val="nil"/>
            </w:tcBorders>
            <w:noWrap/>
            <w:vAlign w:val="center"/>
          </w:tcPr>
          <w:p>
            <w:pPr>
              <w:widowControl/>
              <w:spacing w:line="240" w:lineRule="auto"/>
              <w:jc w:val="center"/>
              <w:rPr>
                <w:rFonts w:hint="eastAsia" w:ascii="仿宋_GB2312" w:hAnsi="等线" w:cs="宋体"/>
                <w:kern w:val="0"/>
                <w:sz w:val="21"/>
                <w:szCs w:val="21"/>
              </w:rPr>
            </w:pPr>
            <w:r>
              <w:rPr>
                <w:rFonts w:hint="eastAsia" w:ascii="仿宋_GB2312" w:hAnsi="等线" w:cs="宋体"/>
                <w:kern w:val="0"/>
                <w:sz w:val="21"/>
                <w:szCs w:val="21"/>
              </w:rPr>
              <w:t>5</w:t>
            </w:r>
          </w:p>
          <w:p>
            <w:pPr>
              <w:pStyle w:val="2"/>
              <w:jc w:val="center"/>
              <w:rPr>
                <w:rFonts w:hint="eastAsia"/>
              </w:rPr>
            </w:pPr>
          </w:p>
          <w:p>
            <w:pPr>
              <w:pStyle w:val="3"/>
              <w:jc w:val="center"/>
              <w:rPr>
                <w:rFonts w:hint="eastAsia"/>
              </w:rPr>
            </w:pPr>
          </w:p>
          <w:p>
            <w:pPr>
              <w:jc w:val="center"/>
              <w:rPr>
                <w:rFonts w:hint="eastAsia" w:ascii="仿宋_GB2312" w:hAnsi="等线" w:eastAsia="仿宋_GB2312" w:cs="宋体"/>
                <w:kern w:val="0"/>
                <w:sz w:val="21"/>
                <w:szCs w:val="21"/>
              </w:rPr>
            </w:pPr>
          </w:p>
          <w:p>
            <w:pPr>
              <w:jc w:val="center"/>
              <w:rPr>
                <w:rFonts w:hint="eastAsia"/>
              </w:rPr>
            </w:pPr>
            <w:r>
              <w:rPr>
                <w:rFonts w:hint="eastAsia" w:ascii="仿宋_GB2312" w:hAnsi="等线" w:eastAsia="仿宋_GB2312" w:cs="宋体"/>
                <w:kern w:val="0"/>
                <w:sz w:val="21"/>
                <w:szCs w:val="21"/>
              </w:rPr>
              <w:t>5</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网站民意征集渠道建设情况、内容维护情况、功能实现情况以及征集实效情况：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1.是否提供在线提交功能并在征集公告中明确在线提交方式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2.是否围绕政府决策、重点工作、用户关注热点开展意见征集</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3.一年内开展的民意征集（仅民意征集，不包括网上调查）次数不少于3次</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4.是否公开收到意见的总体情况</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5.是否公开意见具体采纳情况。（</w:t>
            </w:r>
            <w:r>
              <w:rPr>
                <w:rFonts w:hint="eastAsia" w:ascii="仿宋_GB2312" w:hAnsi="等线" w:cs="宋体"/>
                <w:kern w:val="0"/>
                <w:sz w:val="21"/>
                <w:szCs w:val="21"/>
                <w:lang w:val="en-US" w:eastAsia="zh-CN"/>
              </w:rPr>
              <w:t>一</w:t>
            </w:r>
            <w:r>
              <w:rPr>
                <w:rFonts w:hint="eastAsia" w:ascii="仿宋_GB2312" w:hAnsi="等线" w:eastAsia="仿宋_GB2312" w:cs="宋体"/>
                <w:kern w:val="0"/>
                <w:sz w:val="21"/>
                <w:szCs w:val="21"/>
              </w:rPr>
              <w:t>年内开展的民意征集活动，反馈结果全部为空白/共有0人发表意见或未收到意见等模板性话术显示，此项不得分）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额外加分：对收到的有效意见逐一进行答复的。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额外扣分：活动均为转载或与本部门无关、意见反馈内容存在弄虚作假的。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功能设计（4分）</w:t>
            </w: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规范设计</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网站规范性建设情况：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1.是否按照《政府网站发展指引》-网页设计规范进行网页设计</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2.是否按照《国务院办公厅政府信息与政务公开办公室关于规范政府信息公开平台有关事项的通知》要求设置政府信息公开栏目。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导航体系</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考核政府门户网站地图导航、频道栏目导航是否存在与实际栏目体系不符合、不准确的情况。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无障碍</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考核网站开展无障碍改造的情况。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额外扣分：无障碍功能不可用的。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智慧应用</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智慧应用</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（12分）</w:t>
            </w:r>
          </w:p>
          <w:p>
            <w:pPr>
              <w:pStyle w:val="2"/>
              <w:jc w:val="center"/>
              <w:rPr>
                <w:rFonts w:hint="eastAsia"/>
              </w:rPr>
            </w:pPr>
          </w:p>
          <w:p>
            <w:pPr>
              <w:jc w:val="center"/>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智能问答</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政府网站智能问答功能实现情况：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1.是否提供智能问答业务知识库</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2.模拟用户测试答复准确度</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3.是否实现智能提示、拼音理解、错别字识别、复杂意图理解、智能联想等功能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额外加分：实现了融合答案输出的。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额外扣分：功能不可用或答复内容与本网站内容无关的。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智能搜索</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政府网站智能搜索实现情况：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网站是否提供错别字自动纠正、关键词推荐、拼音转化搜索和通俗语言搜索等模糊搜索功能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网站是否提供搜索结果分类展示以及根据内容相关性强弱提供排序的功能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网站是否提供网站群全站搜索功能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优先展现的搜索结果与搜索关键词的高度关联匹配程度。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针对政策文件、办事服务类资源提供多条件、多维度筛选功能，便于公众快速搜索自己所需要的政策与服务。针对关联性高、逻辑性强的服务事项，能够围绕用户需求和业务逻辑提供集成式、场景式的搜索聚合展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额外扣分：选取网站的政策文件、办事服务、查询服务、名单名录等资源的专业关键词测试，搜不到资源的。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智能推荐</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网站是否定期分析办事服务热点、咨询投诉热点问题在网站首页及时推荐热点办事服务、热点政策措施。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ign w:val="center"/>
          </w:tcPr>
          <w:p>
            <w:pPr>
              <w:widowControl/>
              <w:jc w:val="center"/>
              <w:rPr>
                <w:rFonts w:ascii="仿宋_GB2312" w:hAnsi="等线" w:eastAsia="仿宋_GB2312" w:cs="宋体"/>
                <w:kern w:val="0"/>
                <w:szCs w:val="21"/>
              </w:rPr>
            </w:pPr>
          </w:p>
        </w:tc>
        <w:tc>
          <w:tcPr>
            <w:tcW w:w="709" w:type="dxa"/>
            <w:vMerge w:val="continue"/>
            <w:tcBorders>
              <w:tl2br w:val="nil"/>
              <w:tr2bl w:val="nil"/>
            </w:tcBorders>
            <w:noWrap/>
            <w:vAlign w:val="center"/>
          </w:tcPr>
          <w:p>
            <w:pPr>
              <w:widowControl/>
              <w:jc w:val="center"/>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额外扣分：智能推荐功能不可用或不同用户群体登录时推荐相同内容的。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数据应用</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网站利用统一信息资源库中汇聚的信息资源开发设计轻量化数据应用的情况。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额外扣分：以静态栏目或其他弄虚作假方式伪装成动态数据应用栏目。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政务新媒体（15分）</w:t>
            </w:r>
          </w:p>
          <w:p>
            <w:pPr>
              <w:jc w:val="center"/>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集约开设</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按照一单位一平台一账号的原则进行集约开设政务新媒体。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额外加分：建设本部门、本系统政务新媒体矩阵的，加分。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日常监管</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本部门是否按要求开展季度自查并按时通过自治区级网站集约化平台报送检查情况，并在本部门网站公布。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网站协同</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本部门政务新媒体是否与网站协同发布内容提供服务。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1.发布的信息和提供的服务是否与政府网站同源。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2.政府网站发布的重要政策解读、民意征集活动是否在政务新媒体同步发声。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内容发布</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政务新媒体发布的内容更新情况和内容质量：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1.信息发布频率</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2.页面是否适配移动端。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额外加分：通过集约化后台发布新媒体信息内容的。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移动服务</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适配移动端的办事服务和便民查询服务提供情况（无政务服务职能部门仅</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便民查询服务）。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原创比例</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抽查文章（不包括要求转载的文章）计算原创比例。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机制保障</w:t>
            </w:r>
          </w:p>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（5分）</w:t>
            </w: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应知应会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2023年</w:t>
            </w:r>
            <w:r>
              <w:rPr>
                <w:rFonts w:hint="eastAsia" w:ascii="仿宋_GB2312" w:hAnsi="等线" w:eastAsia="仿宋_GB2312" w:cs="宋体"/>
                <w:kern w:val="0"/>
                <w:sz w:val="21"/>
                <w:szCs w:val="21"/>
                <w:lang w:eastAsia="zh-CN"/>
              </w:rPr>
              <w:t>政府网站与政务新媒体</w:t>
            </w:r>
            <w:r>
              <w:rPr>
                <w:rFonts w:hint="eastAsia" w:ascii="仿宋_GB2312" w:hAnsi="等线" w:eastAsia="仿宋_GB2312" w:cs="宋体"/>
                <w:kern w:val="0"/>
                <w:sz w:val="21"/>
                <w:szCs w:val="21"/>
              </w:rPr>
              <w:t>应知应会知识竞赛成绩。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highlight w:val="none"/>
              </w:rPr>
            </w:pPr>
            <w:r>
              <w:rPr>
                <w:rFonts w:hint="eastAsia" w:ascii="仿宋_GB2312" w:hAnsi="等线" w:eastAsia="仿宋_GB2312" w:cs="宋体"/>
                <w:kern w:val="0"/>
                <w:sz w:val="21"/>
                <w:szCs w:val="21"/>
                <w:highlight w:val="none"/>
              </w:rPr>
              <w:t>主席信箱</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highlight w:val="none"/>
              </w:rPr>
            </w:pPr>
            <w:r>
              <w:rPr>
                <w:rFonts w:hint="eastAsia" w:ascii="仿宋_GB2312" w:hAnsi="等线" w:eastAsia="仿宋_GB2312" w:cs="宋体"/>
                <w:kern w:val="0"/>
                <w:sz w:val="21"/>
                <w:szCs w:val="21"/>
                <w:highlight w:val="none"/>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highlight w:val="none"/>
              </w:rPr>
            </w:pPr>
            <w:r>
              <w:rPr>
                <w:rFonts w:hint="eastAsia" w:ascii="仿宋_GB2312" w:hAnsi="等线" w:eastAsia="仿宋_GB2312" w:cs="宋体"/>
                <w:kern w:val="0"/>
                <w:sz w:val="21"/>
                <w:szCs w:val="21"/>
                <w:highlight w:val="none"/>
              </w:rPr>
              <w:t>及时办理自治区转办的自治区政府门户网站“主席信箱”栏目网民信件，在规定时间内及时反馈情况。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运维机制</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建立健全专人负责制度、值班读网制度、预算及项目管理制度、年报制度等运维机制。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注：以上内容通过会议纪要、制度文件、图片等材料证明，与自查整改报告一并报送。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ign w:val="center"/>
          </w:tcPr>
          <w:p>
            <w:pPr>
              <w:pStyle w:val="3"/>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附加指标</w:t>
            </w:r>
            <w:r>
              <w:rPr>
                <w:rFonts w:hint="eastAsia" w:ascii="仿宋_GB2312" w:hAnsi="等线" w:eastAsia="仿宋_GB2312" w:cs="宋体"/>
                <w:kern w:val="0"/>
                <w:sz w:val="21"/>
                <w:szCs w:val="21"/>
                <w:lang w:eastAsia="zh-CN"/>
              </w:rPr>
              <w:t>（</w:t>
            </w:r>
            <w:r>
              <w:rPr>
                <w:rFonts w:hint="eastAsia" w:ascii="仿宋_GB2312" w:hAnsi="等线" w:eastAsia="仿宋_GB2312" w:cs="宋体"/>
                <w:kern w:val="0"/>
                <w:sz w:val="21"/>
                <w:szCs w:val="21"/>
                <w:lang w:val="en-US" w:eastAsia="zh-CN"/>
              </w:rPr>
              <w:t>30分</w:t>
            </w:r>
            <w:r>
              <w:rPr>
                <w:rFonts w:hint="eastAsia" w:ascii="仿宋_GB2312" w:hAnsi="等线" w:eastAsia="仿宋_GB2312" w:cs="宋体"/>
                <w:kern w:val="0"/>
                <w:sz w:val="21"/>
                <w:szCs w:val="21"/>
                <w:lang w:eastAsia="zh-CN"/>
              </w:rPr>
              <w:t>）</w:t>
            </w:r>
          </w:p>
          <w:p>
            <w:pPr>
              <w:pStyle w:val="2"/>
              <w:rPr>
                <w:rFonts w:hint="eastAsia"/>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rPr>
                <w:rFonts w:hint="eastAsia" w:ascii="仿宋_GB2312" w:hAnsi="等线" w:eastAsia="仿宋_GB2312" w:cs="宋体"/>
                <w:kern w:val="0"/>
                <w:sz w:val="21"/>
                <w:szCs w:val="21"/>
              </w:rPr>
            </w:pPr>
          </w:p>
          <w:p>
            <w:pPr>
              <w:pStyle w:val="3"/>
              <w:spacing w:line="240" w:lineRule="auto"/>
              <w:jc w:val="both"/>
              <w:rPr>
                <w:rFonts w:hint="eastAsia" w:ascii="仿宋_GB2312" w:hAnsi="等线" w:eastAsia="仿宋_GB2312" w:cs="宋体"/>
                <w:kern w:val="0"/>
                <w:sz w:val="21"/>
                <w:szCs w:val="21"/>
              </w:rPr>
            </w:pPr>
          </w:p>
          <w:p>
            <w:pPr>
              <w:pStyle w:val="3"/>
              <w:spacing w:line="240" w:lineRule="auto"/>
              <w:rPr>
                <w:rFonts w:hint="eastAsia" w:eastAsia="仿宋_GB2312"/>
                <w:lang w:eastAsia="zh-CN"/>
              </w:rPr>
            </w:pPr>
            <w:r>
              <w:rPr>
                <w:rFonts w:hint="eastAsia" w:ascii="仿宋_GB2312" w:hAnsi="等线" w:eastAsia="仿宋_GB2312" w:cs="宋体"/>
                <w:kern w:val="0"/>
                <w:sz w:val="21"/>
                <w:szCs w:val="21"/>
              </w:rPr>
              <w:t>附加指标</w:t>
            </w:r>
            <w:r>
              <w:rPr>
                <w:rFonts w:hint="eastAsia" w:ascii="仿宋_GB2312" w:hAnsi="等线" w:eastAsia="仿宋_GB2312" w:cs="宋体"/>
                <w:kern w:val="0"/>
                <w:sz w:val="21"/>
                <w:szCs w:val="21"/>
                <w:lang w:eastAsia="zh-CN"/>
              </w:rPr>
              <w:t>（</w:t>
            </w:r>
            <w:r>
              <w:rPr>
                <w:rFonts w:hint="eastAsia" w:ascii="仿宋_GB2312" w:hAnsi="等线" w:eastAsia="仿宋_GB2312" w:cs="宋体"/>
                <w:kern w:val="0"/>
                <w:sz w:val="21"/>
                <w:szCs w:val="21"/>
                <w:lang w:val="en-US" w:eastAsia="zh-CN"/>
              </w:rPr>
              <w:t>30分</w:t>
            </w:r>
            <w:r>
              <w:rPr>
                <w:rFonts w:hint="eastAsia" w:ascii="仿宋_GB2312" w:hAnsi="等线" w:eastAsia="仿宋_GB2312" w:cs="宋体"/>
                <w:kern w:val="0"/>
                <w:sz w:val="21"/>
                <w:szCs w:val="21"/>
                <w:lang w:eastAsia="zh-CN"/>
              </w:rPr>
              <w:t>）</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加分指标</w:t>
            </w:r>
            <w:r>
              <w:rPr>
                <w:rFonts w:hint="eastAsia" w:ascii="仿宋_GB2312" w:hAnsi="等线" w:cs="宋体"/>
                <w:kern w:val="0"/>
                <w:sz w:val="21"/>
                <w:szCs w:val="21"/>
                <w:lang w:eastAsia="zh-CN"/>
              </w:rPr>
              <w:t>（</w:t>
            </w:r>
            <w:r>
              <w:rPr>
                <w:rFonts w:hint="eastAsia" w:ascii="仿宋_GB2312" w:hAnsi="等线" w:cs="宋体"/>
                <w:kern w:val="0"/>
                <w:sz w:val="21"/>
                <w:szCs w:val="21"/>
                <w:lang w:val="en-US" w:eastAsia="zh-CN"/>
              </w:rPr>
              <w:t>16分</w:t>
            </w:r>
            <w:r>
              <w:rPr>
                <w:rFonts w:hint="eastAsia" w:ascii="仿宋_GB2312" w:hAnsi="等线" w:cs="宋体"/>
                <w:kern w:val="0"/>
                <w:sz w:val="21"/>
                <w:szCs w:val="21"/>
                <w:lang w:eastAsia="zh-CN"/>
              </w:rPr>
              <w:t>）</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创新案例</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在一体化服务、政务新媒体管理、新技术应用、数据开放等方面的创新做法（本年度和以往评估指标中涉及的创新性较低的案例不予采纳，发现上报材料相似度过高，经专家评审认定为抄袭的，均不采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每个网站可推荐多个应用案例，从展现功能、做法模式、效益效果、制度机制、可推广性等方面简要描述，填报《</w:t>
            </w:r>
            <w:r>
              <w:rPr>
                <w:rFonts w:hint="eastAsia" w:ascii="仿宋_GB2312" w:hAnsi="等线" w:cs="宋体"/>
                <w:kern w:val="0"/>
                <w:sz w:val="21"/>
                <w:szCs w:val="21"/>
                <w:lang w:val="en-US" w:eastAsia="zh-CN"/>
              </w:rPr>
              <w:t>2023年政府网站与政务新媒体优秀创新案例申请表</w:t>
            </w:r>
            <w:r>
              <w:rPr>
                <w:rFonts w:hint="eastAsia" w:ascii="仿宋_GB2312" w:hAnsi="等线" w:eastAsia="仿宋_GB2312" w:cs="宋体"/>
                <w:kern w:val="0"/>
                <w:sz w:val="21"/>
                <w:szCs w:val="21"/>
              </w:rPr>
              <w:t>》与自评整改报告一并报送。报送多个案例时，仅采纳评分最高的两个。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精品栏目</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6</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考核各网站整合网站信息资源，以人性化、喜闻乐见的方式设计并打造特色精品栏目的情况。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表彰宣传</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本部门</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建设管理工作，如在信息公开、办事服务、互动交流、回应关切、集约化建设等方面的优秀做法模式、保障机制、实际效果等受到国务院相关部门、中央网信办、自治区人民政府等上级单位表彰的，每受到1次表彰加1分，累计最高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本部门</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建设管理工作，如在信息公开、办事服务、互动交流、回应关切、集约化建设等方面的优秀做法模式、保障机制、实际效果等，被国家和自治区级主流媒体正面宣传报道的，每被报道1次加0.5分，累计最高加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积极主动向广西壮族自治区人民政府门户网站报送本部门政府网站建设管理、“互联网</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政务服务”等方面的工作成果，被中国政府网站、广西壮族自治区人民政府门户网站采用的，每被采用1次加0.5分，累计最高加1.5分。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cs="宋体"/>
                <w:kern w:val="0"/>
                <w:sz w:val="21"/>
                <w:szCs w:val="21"/>
              </w:rPr>
            </w:pPr>
          </w:p>
          <w:p>
            <w:pPr>
              <w:widowControl/>
              <w:spacing w:line="240" w:lineRule="auto"/>
              <w:jc w:val="both"/>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pStyle w:val="2"/>
              <w:rPr>
                <w:rFonts w:hint="eastAsia"/>
              </w:rPr>
            </w:pPr>
          </w:p>
          <w:p>
            <w:pPr>
              <w:widowControl/>
              <w:spacing w:line="240" w:lineRule="auto"/>
              <w:jc w:val="center"/>
              <w:rPr>
                <w:rFonts w:hint="eastAsia" w:ascii="仿宋_GB2312" w:hAnsi="等线" w:cs="宋体"/>
                <w:kern w:val="0"/>
                <w:sz w:val="21"/>
                <w:szCs w:val="21"/>
              </w:rPr>
            </w:pPr>
            <w:r>
              <w:rPr>
                <w:rFonts w:hint="eastAsia" w:ascii="仿宋_GB2312" w:hAnsi="等线" w:cs="宋体"/>
                <w:kern w:val="0"/>
                <w:sz w:val="21"/>
                <w:szCs w:val="21"/>
              </w:rPr>
              <w:t>扣分指标</w:t>
            </w:r>
            <w:r>
              <w:rPr>
                <w:rFonts w:hint="eastAsia" w:ascii="仿宋_GB2312" w:hAnsi="等线" w:cs="宋体"/>
                <w:kern w:val="0"/>
                <w:sz w:val="21"/>
                <w:szCs w:val="21"/>
                <w:lang w:eastAsia="zh-CN"/>
              </w:rPr>
              <w:t>（</w:t>
            </w:r>
            <w:r>
              <w:rPr>
                <w:rFonts w:hint="eastAsia" w:ascii="仿宋_GB2312" w:hAnsi="等线" w:cs="宋体"/>
                <w:kern w:val="0"/>
                <w:sz w:val="21"/>
                <w:szCs w:val="21"/>
                <w:lang w:val="en-US" w:eastAsia="zh-CN"/>
              </w:rPr>
              <w:t>14分</w:t>
            </w:r>
            <w:r>
              <w:rPr>
                <w:rFonts w:hint="eastAsia" w:ascii="仿宋_GB2312" w:hAnsi="等线" w:cs="宋体"/>
                <w:kern w:val="0"/>
                <w:sz w:val="21"/>
                <w:szCs w:val="21"/>
                <w:lang w:eastAsia="zh-CN"/>
              </w:rPr>
              <w:t>）</w:t>
            </w:r>
          </w:p>
          <w:p>
            <w:pPr>
              <w:pStyle w:val="2"/>
              <w:rPr>
                <w:rFonts w:hint="eastAsia" w:ascii="仿宋_GB2312" w:hAnsi="等线" w:eastAsia="仿宋_GB2312" w:cs="宋体"/>
                <w:kern w:val="0"/>
                <w:sz w:val="21"/>
                <w:szCs w:val="21"/>
              </w:rPr>
            </w:pPr>
          </w:p>
          <w:p>
            <w:pPr>
              <w:pStyle w:val="2"/>
              <w:rPr>
                <w:rFonts w:hint="eastAsia"/>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健康情况</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8</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季度检查中出现网站和政务新媒体不合格的情况、严重表述错误情况。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安全事件</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本部门政府网站</w:t>
            </w:r>
            <w:r>
              <w:rPr>
                <w:rFonts w:hint="eastAsia" w:ascii="仿宋_GB2312" w:hAnsi="等线" w:cs="宋体"/>
                <w:kern w:val="0"/>
                <w:sz w:val="21"/>
                <w:szCs w:val="21"/>
                <w:lang w:val="en-US" w:eastAsia="zh-CN"/>
              </w:rPr>
              <w:t>或</w:t>
            </w:r>
            <w:r>
              <w:rPr>
                <w:rFonts w:hint="eastAsia" w:ascii="仿宋_GB2312" w:hAnsi="等线" w:eastAsia="仿宋_GB2312" w:cs="宋体"/>
                <w:kern w:val="0"/>
                <w:sz w:val="21"/>
                <w:szCs w:val="21"/>
              </w:rPr>
              <w:t>政务新媒体发生信息安全事故、存在安全漏洞、内容失真、问题地图、政治方向错误等事件的，扣分。其中，部门网站或政务新媒体主办单位每次2分，累计最高扣4分。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通报曝光</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本部门</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受到国家和自治区相关文件通报批评的，扣分。其中，政府门户网站每次1分，组织填报网站每次扣0.5分，累计最高扣2分。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9072"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本部门</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发生媒体曝光或其他负面影响事件，经查实属于</w:t>
            </w:r>
            <w:r>
              <w:rPr>
                <w:rFonts w:hint="eastAsia" w:ascii="仿宋_GB2312" w:hAnsi="等线" w:cs="宋体"/>
                <w:kern w:val="0"/>
                <w:sz w:val="21"/>
                <w:szCs w:val="21"/>
                <w:lang w:val="en-US" w:eastAsia="zh-CN"/>
              </w:rPr>
              <w:t>政府</w:t>
            </w:r>
            <w:r>
              <w:rPr>
                <w:rFonts w:hint="eastAsia" w:ascii="仿宋_GB2312" w:hAnsi="等线" w:eastAsia="仿宋_GB2312" w:cs="宋体"/>
                <w:kern w:val="0"/>
                <w:sz w:val="21"/>
                <w:szCs w:val="21"/>
              </w:rPr>
              <w:t>网站</w:t>
            </w:r>
            <w:r>
              <w:rPr>
                <w:rFonts w:hint="eastAsia" w:ascii="仿宋_GB2312" w:hAnsi="等线" w:cs="宋体"/>
                <w:kern w:val="0"/>
                <w:sz w:val="21"/>
                <w:szCs w:val="21"/>
                <w:lang w:val="en-US" w:eastAsia="zh-CN"/>
              </w:rPr>
              <w:t>建设</w:t>
            </w:r>
            <w:r>
              <w:rPr>
                <w:rFonts w:hint="eastAsia" w:ascii="仿宋_GB2312" w:hAnsi="等线" w:eastAsia="仿宋_GB2312" w:cs="宋体"/>
                <w:kern w:val="0"/>
                <w:sz w:val="21"/>
                <w:szCs w:val="21"/>
              </w:rPr>
              <w:t>管理</w:t>
            </w:r>
            <w:r>
              <w:rPr>
                <w:rFonts w:hint="eastAsia" w:ascii="仿宋_GB2312" w:hAnsi="等线" w:cs="宋体"/>
                <w:kern w:val="0"/>
                <w:sz w:val="21"/>
                <w:szCs w:val="21"/>
                <w:lang w:val="en-US" w:eastAsia="zh-CN"/>
              </w:rPr>
              <w:t>责任的</w:t>
            </w:r>
            <w:r>
              <w:rPr>
                <w:rFonts w:hint="eastAsia" w:ascii="仿宋_GB2312" w:hAnsi="等线" w:eastAsia="仿宋_GB2312" w:cs="宋体"/>
                <w:kern w:val="0"/>
                <w:sz w:val="21"/>
                <w:szCs w:val="21"/>
              </w:rPr>
              <w:t>或受到国家和自治区相关文件通报批评的，扣分。其中，政府门户网站每次1分，组织填报网站每次扣0.5分，累计最高扣2分。</w:t>
            </w:r>
          </w:p>
        </w:tc>
      </w:tr>
    </w:tbl>
    <w:p>
      <w:pPr>
        <w:rPr>
          <w:snapToGrid w:val="0"/>
        </w:rPr>
        <w:sectPr>
          <w:footerReference r:id="rId6" w:type="first"/>
          <w:footerReference r:id="rId5" w:type="default"/>
          <w:pgSz w:w="16838" w:h="11905" w:orient="landscape"/>
          <w:pgMar w:top="1418" w:right="1928" w:bottom="1418" w:left="1814" w:header="851" w:footer="1474" w:gutter="0"/>
          <w:pgBorders>
            <w:top w:val="none" w:sz="0" w:space="0"/>
            <w:left w:val="none" w:sz="0" w:space="0"/>
            <w:bottom w:val="none" w:sz="0" w:space="0"/>
            <w:right w:val="none" w:sz="0" w:space="0"/>
          </w:pgBorders>
          <w:pgNumType w:fmt="decimal"/>
          <w:cols w:space="720" w:num="1"/>
          <w:titlePg/>
          <w:docGrid w:type="lines" w:linePitch="408" w:charSpace="0"/>
        </w:sect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r>
        <w:rPr>
          <w:rFonts w:ascii="Times New Roman Regular" w:hAnsi="Times New Roman Regular" w:eastAsia="黑体" w:cs="Times New Roman Regular"/>
          <w:snapToGrid w:val="0"/>
          <w:sz w:val="32"/>
          <w:szCs w:val="32"/>
        </w:rPr>
        <w:t>二、设区市</w:t>
      </w:r>
      <w:r>
        <w:rPr>
          <w:rFonts w:hint="eastAsia" w:ascii="Times New Roman Regular" w:hAnsi="Times New Roman Regular" w:eastAsia="黑体" w:cs="Times New Roman Regular"/>
          <w:snapToGrid w:val="0"/>
          <w:sz w:val="32"/>
          <w:szCs w:val="32"/>
          <w:lang w:val="en-US" w:eastAsia="zh-CN"/>
        </w:rPr>
        <w:t>政府门户网站</w:t>
      </w:r>
      <w:r>
        <w:rPr>
          <w:rFonts w:ascii="Times New Roman Regular" w:hAnsi="Times New Roman Regular" w:eastAsia="黑体" w:cs="Times New Roman Regular"/>
          <w:snapToGrid w:val="0"/>
          <w:sz w:val="32"/>
          <w:szCs w:val="32"/>
        </w:rPr>
        <w:t>绩效评估指标</w:t>
      </w:r>
    </w:p>
    <w:tbl>
      <w:tblPr>
        <w:tblStyle w:val="5"/>
        <w:tblW w:w="12140"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4"/>
        <w:gridCol w:w="1134"/>
        <w:gridCol w:w="1134"/>
        <w:gridCol w:w="709"/>
        <w:gridCol w:w="80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blHeader/>
        </w:trPr>
        <w:tc>
          <w:tcPr>
            <w:tcW w:w="1124"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一级指标</w:t>
            </w:r>
          </w:p>
        </w:tc>
        <w:tc>
          <w:tcPr>
            <w:tcW w:w="1134"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二级指标</w:t>
            </w:r>
          </w:p>
        </w:tc>
        <w:tc>
          <w:tcPr>
            <w:tcW w:w="1134"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三级指标</w:t>
            </w:r>
          </w:p>
        </w:tc>
        <w:tc>
          <w:tcPr>
            <w:tcW w:w="709" w:type="dxa"/>
            <w:tcBorders>
              <w:tl2br w:val="nil"/>
              <w:tr2bl w:val="nil"/>
            </w:tcBorders>
            <w:noWrap/>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权重</w:t>
            </w:r>
          </w:p>
        </w:tc>
        <w:tc>
          <w:tcPr>
            <w:tcW w:w="8039" w:type="dxa"/>
            <w:tcBorders>
              <w:tl2br w:val="nil"/>
              <w:tr2bl w:val="nil"/>
            </w:tcBorders>
            <w:noWrap w:val="0"/>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Cs w:val="21"/>
              </w:rPr>
            </w:pPr>
            <w:r>
              <w:rPr>
                <w:rFonts w:hint="eastAsia" w:ascii="Times New Roman Regular" w:hAnsi="Times New Roman Regular" w:eastAsia="方正黑体_GBK" w:cs="Times New Roman Regular"/>
                <w:kern w:val="0"/>
                <w:sz w:val="21"/>
                <w:szCs w:val="21"/>
              </w:rPr>
              <w:t>评估内容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发布解读</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（38分）</w:t>
            </w:r>
          </w:p>
          <w:p>
            <w:pPr>
              <w:pStyle w:val="2"/>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发布解读</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（38分）</w:t>
            </w:r>
          </w:p>
          <w:p>
            <w:pPr>
              <w:pStyle w:val="2"/>
              <w:jc w:val="center"/>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3"/>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pStyle w:val="2"/>
              <w:jc w:val="center"/>
              <w:rPr>
                <w:rFonts w:hint="eastAsia"/>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发布解读</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（38分）</w:t>
            </w:r>
          </w:p>
          <w:p>
            <w:pPr>
              <w:pStyle w:val="3"/>
              <w:rPr>
                <w:rFonts w:hint="eastAsia"/>
              </w:rPr>
            </w:pPr>
          </w:p>
          <w:p>
            <w:pPr>
              <w:pStyle w:val="3"/>
              <w:rPr>
                <w:rFonts w:hint="eastAsia"/>
              </w:rPr>
            </w:pPr>
          </w:p>
          <w:p>
            <w:pPr>
              <w:spacing w:line="240" w:lineRule="auto"/>
              <w:jc w:val="center"/>
              <w:rPr>
                <w:rFonts w:ascii="仿宋_GB2312" w:hAnsi="等线" w:eastAsia="仿宋_GB2312" w:cs="宋体"/>
                <w:kern w:val="0"/>
                <w:szCs w:val="21"/>
              </w:rPr>
            </w:pPr>
          </w:p>
        </w:tc>
        <w:tc>
          <w:tcPr>
            <w:tcW w:w="1134" w:type="dxa"/>
            <w:vMerge w:val="restart"/>
            <w:tcBorders>
              <w:tl2br w:val="nil"/>
              <w:tr2bl w:val="nil"/>
            </w:tcBorders>
            <w:noWrap/>
            <w:vAlign w:val="center"/>
          </w:tcPr>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r>
              <w:rPr>
                <w:rFonts w:hint="eastAsia" w:ascii="仿宋_GB2312" w:hAnsi="等线" w:eastAsia="仿宋_GB2312" w:cs="宋体"/>
                <w:kern w:val="0"/>
                <w:szCs w:val="21"/>
              </w:rPr>
              <w:t>主动公开</w:t>
            </w: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pPr>
            <w:r>
              <w:rPr>
                <w:rFonts w:hint="eastAsia" w:ascii="仿宋_GB2312" w:hAnsi="等线" w:eastAsia="仿宋_GB2312" w:cs="宋体"/>
                <w:kern w:val="0"/>
                <w:sz w:val="21"/>
                <w:szCs w:val="21"/>
              </w:rPr>
              <w:t>主动公开</w:t>
            </w:r>
          </w:p>
        </w:tc>
        <w:tc>
          <w:tcPr>
            <w:tcW w:w="1134" w:type="dxa"/>
            <w:vMerge w:val="restart"/>
            <w:tcBorders>
              <w:tl2br w:val="nil"/>
              <w:tr2bl w:val="nil"/>
            </w:tcBorders>
            <w:noWrap/>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基础信息</w:t>
            </w:r>
          </w:p>
        </w:tc>
        <w:tc>
          <w:tcPr>
            <w:tcW w:w="709" w:type="dxa"/>
            <w:vMerge w:val="restart"/>
            <w:tcBorders>
              <w:tl2br w:val="nil"/>
              <w:tr2bl w:val="nil"/>
            </w:tcBorders>
            <w:noWrap/>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9</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考核概况、机构职能、领导信息、政务动态、文件资料、人事信息、规划计划、财政信息、数据发布、政府会议、建议提案等基础信息公开栏目建设和内容维护情况：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栏目体系是否合理，是否按照用户使用习惯或业务逻辑分类设置栏目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1"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val="en-US"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政府信息公开专栏内容是否符合政府信息公开条例第二十条、二十一条要求。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1"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重点信息</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重大建设项目批准和实施、住房保障、国有土地使用权和矿业权出让领域、政府采购、国有产权交易、社会救助和社会福利、教育、公共医疗卫生、环境保护、灾害事故救援、公共文化体育、价格和收费、安全生产、食品安全等重点领域信息公开栏目建设和内容维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栏目体系是否合理，是否按照用户使用习惯或业务逻辑分类设置栏目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政策解读</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6</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本地区通过政府网站开展政策解读的情况：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网站对本地区政策文件的解读比例和解读形式（如图形图表、音视频、新闻发布会、媒体报道等形式）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额外加分：实现便民惠企政策文件精准分类、精准送达和办事关联的。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center"/>
              <w:rPr>
                <w:rFonts w:ascii="等线" w:hAnsi="等线" w:eastAsia="等线" w:cs="宋体"/>
                <w:kern w:val="0"/>
                <w:szCs w:val="21"/>
              </w:rPr>
            </w:pPr>
          </w:p>
        </w:tc>
        <w:tc>
          <w:tcPr>
            <w:tcW w:w="1134" w:type="dxa"/>
            <w:vMerge w:val="restart"/>
            <w:tcBorders>
              <w:tl2br w:val="nil"/>
              <w:tr2bl w:val="nil"/>
            </w:tcBorders>
            <w:noWrap/>
            <w:vAlign w:val="center"/>
          </w:tcPr>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jc w:val="center"/>
              <w:rPr>
                <w:rFonts w:hint="eastAsia" w:ascii="仿宋_GB2312" w:hAnsi="等线" w:eastAsia="仿宋_GB2312" w:cs="宋体"/>
                <w:kern w:val="0"/>
                <w:szCs w:val="21"/>
              </w:rPr>
            </w:pPr>
            <w:r>
              <w:rPr>
                <w:rFonts w:hint="eastAsia" w:ascii="仿宋_GB2312" w:hAnsi="等线" w:eastAsia="仿宋_GB2312" w:cs="宋体"/>
                <w:kern w:val="0"/>
                <w:szCs w:val="21"/>
              </w:rPr>
              <w:t>特色栏目</w:t>
            </w:r>
          </w:p>
          <w:p>
            <w:pPr>
              <w:pStyle w:val="3"/>
              <w:rPr>
                <w:rFonts w:hint="eastAsia" w:ascii="仿宋_GB2312" w:hAnsi="等线" w:eastAsia="仿宋_GB2312" w:cs="宋体"/>
                <w:kern w:val="0"/>
                <w:szCs w:val="21"/>
              </w:rPr>
            </w:pPr>
          </w:p>
          <w:p>
            <w:pPr>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3"/>
              <w:rPr>
                <w:rFonts w:hint="eastAsia" w:ascii="仿宋_GB2312" w:hAnsi="等线" w:eastAsia="仿宋_GB2312" w:cs="宋体"/>
                <w:kern w:val="0"/>
                <w:szCs w:val="21"/>
              </w:rPr>
            </w:pPr>
          </w:p>
          <w:p>
            <w:pPr>
              <w:pStyle w:val="2"/>
              <w:rPr>
                <w:rFonts w:hint="default"/>
              </w:rPr>
            </w:pPr>
          </w:p>
          <w:p>
            <w:pPr>
              <w:pStyle w:val="2"/>
              <w:jc w:val="center"/>
              <w:rPr>
                <w:rFonts w:hint="eastAsia"/>
              </w:rPr>
            </w:pPr>
            <w:r>
              <w:rPr>
                <w:rFonts w:hint="eastAsia" w:ascii="仿宋_GB2312" w:hAnsi="等线" w:eastAsia="仿宋_GB2312" w:cs="宋体"/>
                <w:kern w:val="0"/>
                <w:sz w:val="21"/>
                <w:szCs w:val="21"/>
              </w:rPr>
              <w:t>特色栏目</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业务专题</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围绕本地区各部门核心业务职能策划相关专题专栏综合提供业务相关的政策依据、行业标准、知识库、在线查询、办事服务等各类资源的情况：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网站整合业务专题的数量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2.业务专题是否栏对资源进行整合并分类展现（是否分类聚合动态、政策、标准、互动、服务、查询等四类以上资源）</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年度重点工作</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6</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网站围绕2023年政府工作报告中某一项具体的年度重点工作开设专题专栏</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整合提供相关工作背景、政策依据、工作进展情况、工作成果、知识、服务等各类资源的情况：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年度度重点工作专栏的开设以及栏目体系设计情况</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专栏是否分类整合工作背景、政策依据、工作进展情况、工作成果、知识、服务、互动等三类以上资源的</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政务服务（6分）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both"/>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政务服务（6分）</w:t>
            </w:r>
          </w:p>
          <w:p>
            <w:pPr>
              <w:pStyle w:val="2"/>
              <w:rPr>
                <w:rFonts w:hint="eastAsia"/>
              </w:rPr>
            </w:pPr>
          </w:p>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办事指南</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办事指南的规范性、准确性：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网站行政许可、行政确认、行政备案、其他行政权力等办事指南要素的规范性</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行政许可、行政确认、行政备案、其他行政权力等办事指南要素内容、办理流程、办理材料、表格下载等内容的准确性。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网办深度</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各地区实现全程网办事项的数量。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一件事一次办</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各地区实现群众眼中的一件事一次办服务的建设情况，包括数量、导航、压缩时限、材料复用、在线办理等情况。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查询服务</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网站提供环保绿化、教育科研、交通出行、证件办理、职业资格、婚姻生育、文体旅游、医疗卫生、社会保障、出境入境、住房保障等主要领域相关查询服务的情况：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政府网站提供查询服务的数量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政府网站提供本地区专属查询服务的情况，鼓励各地区利用统一信息资源库中数据资源开发设计专属于本地区的查询服务（仅链接到一体化平台，查询未包含本地区数据的不得分）</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政府网站提供查询服务的形式（分数由低到高依次为：上级名单名录/上级查询系统/本级名单名录/本级查询系统/本级检索系统）</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额外加分：栏目设计新颖，查询内容贴合本地实际、采用地图或图形化等高级查询方式的。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额外扣分：存在2个（含）以上查询服务不可用，以及其他弄虚作假情况的。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pStyle w:val="3"/>
              <w:jc w:val="center"/>
              <w:rPr>
                <w:rFonts w:hint="eastAsia"/>
              </w:rPr>
            </w:pPr>
          </w:p>
          <w:p>
            <w:pPr>
              <w:spacing w:line="240" w:lineRule="auto"/>
              <w:jc w:val="center"/>
              <w:rPr>
                <w:rFonts w:hint="default" w:ascii="仿宋_GB2312" w:hAnsi="等线" w:cs="宋体"/>
                <w:kern w:val="0"/>
                <w:sz w:val="21"/>
                <w:szCs w:val="21"/>
              </w:rPr>
            </w:pPr>
            <w:r>
              <w:rPr>
                <w:rFonts w:hint="default" w:ascii="仿宋_GB2312" w:hAnsi="等线" w:cs="宋体"/>
                <w:kern w:val="0"/>
                <w:sz w:val="21"/>
                <w:szCs w:val="21"/>
              </w:rPr>
              <w:t>资源融合（10分）</w:t>
            </w:r>
          </w:p>
          <w:p>
            <w:pPr>
              <w:pStyle w:val="2"/>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spacing w:line="240" w:lineRule="auto"/>
              <w:jc w:val="center"/>
              <w:rPr>
                <w:rFonts w:hint="eastAsia" w:ascii="仿宋_GB2312" w:hAnsi="等线" w:cs="宋体"/>
                <w:kern w:val="0"/>
                <w:sz w:val="21"/>
                <w:szCs w:val="21"/>
              </w:rPr>
            </w:pPr>
            <w:r>
              <w:rPr>
                <w:rFonts w:hint="eastAsia" w:ascii="仿宋_GB2312" w:hAnsi="等线" w:cs="宋体"/>
                <w:kern w:val="0"/>
                <w:sz w:val="21"/>
                <w:szCs w:val="21"/>
              </w:rPr>
              <w:t>资源融合（10分）</w:t>
            </w:r>
          </w:p>
          <w:p>
            <w:pPr>
              <w:jc w:val="center"/>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jc w:val="center"/>
              <w:rPr>
                <w:rFonts w:hint="eastAsia" w:ascii="仿宋_GB2312" w:hAnsi="等线" w:eastAsia="仿宋_GB2312" w:cs="宋体"/>
                <w:kern w:val="0"/>
                <w:sz w:val="21"/>
                <w:szCs w:val="21"/>
              </w:rPr>
            </w:pPr>
          </w:p>
          <w:p>
            <w:pPr>
              <w:spacing w:line="240" w:lineRule="auto"/>
              <w:jc w:val="center"/>
              <w:rPr>
                <w:rFonts w:hint="eastAsia"/>
              </w:rPr>
            </w:pPr>
            <w:r>
              <w:rPr>
                <w:rFonts w:hint="eastAsia" w:ascii="仿宋_GB2312" w:hAnsi="等线" w:eastAsia="仿宋_GB2312" w:cs="宋体"/>
                <w:kern w:val="0"/>
                <w:sz w:val="21"/>
                <w:szCs w:val="21"/>
              </w:rPr>
              <w:t>资源融合（10分）</w:t>
            </w: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教育</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教育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社保</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社保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住房</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住房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交通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交通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就业创业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就业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社会救助和福利</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社会救助和福利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婚姻生育</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婚育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医疗健康</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医疗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证件办理</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证件办理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企业开办</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企业开办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互动交流（6分）</w:t>
            </w:r>
          </w:p>
          <w:p>
            <w:pPr>
              <w:jc w:val="left"/>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咨询互动</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网站咨询互动渠道的实效性：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1.通过模拟用户进行简单问题提问检查网站是否在咨询后5个工作日内答复且内容准确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2.留言统计信息的更新情况：实时更新/月度更新/月度以上。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额外扣分：留言统计数据弄虚作假、模拟用户提出的简单问题超过10个工作日未答复或答复内容存在敷衍塞责情况的。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民意征集</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网站民意征集渠道建设情况、内容维护情况、功能实现情况以及征集实效情况：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1.是否通过在线方式开展（查看征集公告中提交方式）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2.是否围绕政府决策、重点工作、用户关注热点开展意见征集</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3.一年内开展的民意征集（仅民意征集，不包括网上调查）次数不少于6次</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4.是否公开收到意见的总体情况</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5.是否公开意见具体采纳情况（1年内开展的民意征集活动，反馈结果全部为空白/共有0人发表意见或未收到意见等模板性话术显示，此项不得分）。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额外加分：对收到的意见逐一进行答复的。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额外扣分：活动均为转载或与本地区无关、意见反馈内容存在弄虚作假的。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spacing w:line="240" w:lineRule="auto"/>
              <w:jc w:val="left"/>
              <w:rPr>
                <w:rFonts w:ascii="仿宋_GB2312" w:hAnsi="等线" w:eastAsia="仿宋_GB2312" w:cs="宋体"/>
                <w:kern w:val="0"/>
                <w:szCs w:val="21"/>
              </w:rPr>
            </w:pPr>
            <w:r>
              <w:rPr>
                <w:rFonts w:hint="eastAsia" w:ascii="仿宋_GB2312" w:hAnsi="等线" w:eastAsia="仿宋_GB2312" w:cs="宋体"/>
                <w:kern w:val="0"/>
                <w:sz w:val="21"/>
                <w:szCs w:val="21"/>
              </w:rPr>
              <w:t>功能设计（5分）</w:t>
            </w: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规范设计</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网站规范性建设情况：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1.是否按照《政府网站发展指引》-网页设计规范进行网页设计</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2.是否按照《国务院办公厅政府信息与政务公开办公室关于规范政府信息公开平台有关事项的通知》要求设置政府信息公开栏目。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无障碍</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网站无障碍功能建设情况：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1.考核网站开展无障碍改造的情况。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2.适老化专区建设情况。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额外扣分：无障碍功能不可用或适老化专区内容与本网站无关的。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共享共用</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本地区政府门户网站基于集约化统一信息资源库分享调用区县、部门网站资源的情况。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智慧应用（12分）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智慧应用（12分）</w:t>
            </w:r>
          </w:p>
          <w:p>
            <w:pPr>
              <w:pStyle w:val="2"/>
              <w:rPr>
                <w:rFonts w:hint="eastAsia"/>
              </w:rPr>
            </w:pPr>
          </w:p>
          <w:p>
            <w:pPr>
              <w:spacing w:line="240" w:lineRule="auto"/>
              <w:jc w:val="left"/>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智能问答</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政府网站智能问答功能实现情况：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spacing w:line="240" w:lineRule="auto"/>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1.是否提供智能问答业务知识库</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2.模拟用户测试答复准确度</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3.是否实现智能提示、拼音理解、错别字识别、复杂意图理解、智能联想等功能。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额外加分：实现了融合答案输出的。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额外扣分：功能不可用或答复内容与本网站内容无关的。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智能搜索</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政府网站智能搜索实现情况：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网站是否提供错别字自动纠正、关键词推荐、拼音转化搜索和通俗语言搜索等模糊搜索功能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网站是否提供搜索结果分类展示以及根据内容相关性强弱提供排序的功能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网站是否提供网站群全站搜索功能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优先展现的搜索结果与搜索关键词的高度关联匹配程度。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针对政策文件、办事服务类资源提供多条件、多维度筛选功能，便于公众快速搜索自己所需要的政策与服务。针对关联性高、逻辑性强的服务事项，能够围绕用户需求和业务逻辑提供集成式、场景式的搜索聚合展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额外扣分：选取网站的政策文件、办事服务、查询服务、名单名录等资源的专业关键词测试，搜不到资源的。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智能推荐</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网站是否定期分析办事服务热点、咨询投诉热点问题在网站首页及时推荐热点办事服务、热点政策措施。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额外扣分：智能推荐功能不可用或不同用户群体登录时推荐相同内容的。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数据应用</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网站利用统一信息资源库中汇聚的信息资源开发设计轻量化数据应用的情况。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额外扣分：以静态栏目或其他弄虚作假方式伪装成动态数据应用栏目的。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政务新媒体（15分）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政务新媒体（15分）</w:t>
            </w:r>
          </w:p>
          <w:p>
            <w:pPr>
              <w:pStyle w:val="2"/>
              <w:rPr>
                <w:rFonts w:hint="eastAsia"/>
              </w:rPr>
            </w:pPr>
          </w:p>
          <w:p>
            <w:pPr>
              <w:spacing w:line="240" w:lineRule="auto"/>
              <w:jc w:val="left"/>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集约开设</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1.按照一单位一平台一账号的原则进行集约开设政务新媒体</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2.通过政务新媒体运行管理系统统一管理全市范围内的政务新媒体。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日常监管</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本地区政务新媒体季度检查情况，若检查N个，M个不合格，则得分为权重*(N-M)/N。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网站协同</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门户网站对应政务新媒体是否与网站协同发布内容提供服务。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1.发布的信息和提供的服务是否与政府网站同源。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2.政府网站发布的重要政策解读、民意征集活动是否在政务新媒体同步发声。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内容发布</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政务新媒体发布的内容更新情况和内容质量：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1.信息发布频率</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2.页面是否适配移动端。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移动服务</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适配移动端的办事服务和便民查询服务提供情况。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原创比例</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抽查文章（不包括要求转载的文章）计算原创比例。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restart"/>
            <w:tcBorders>
              <w:tl2br w:val="nil"/>
              <w:tr2bl w:val="nil"/>
            </w:tcBorders>
            <w:noWrap w:val="0"/>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机制保障（8分）</w:t>
            </w:r>
          </w:p>
          <w:p>
            <w:pPr>
              <w:jc w:val="left"/>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考核评价</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开展全市政府网站绩效考评，把考评结果纳入政府年度绩效考核：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1.是否开展了全市政府网站年度绩效考评</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2.考评结果是否纳入政府年度绩效考核。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注：以上内容通过会议纪要、制度文件、图片等材料证明，与自查整改报告一并报送。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应知应会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2023年全区</w:t>
            </w:r>
            <w:r>
              <w:rPr>
                <w:rFonts w:hint="eastAsia" w:ascii="仿宋_GB2312" w:hAnsi="等线" w:eastAsia="仿宋_GB2312" w:cs="宋体"/>
                <w:kern w:val="0"/>
                <w:sz w:val="21"/>
                <w:szCs w:val="21"/>
                <w:lang w:eastAsia="zh-CN"/>
              </w:rPr>
              <w:t>政府网站与政务新媒体</w:t>
            </w:r>
            <w:r>
              <w:rPr>
                <w:rFonts w:hint="eastAsia" w:ascii="仿宋_GB2312" w:hAnsi="等线" w:eastAsia="仿宋_GB2312" w:cs="宋体"/>
                <w:kern w:val="0"/>
                <w:sz w:val="21"/>
                <w:szCs w:val="21"/>
              </w:rPr>
              <w:t>应知应会知识竞赛成绩。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主席信箱</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及时办理自治区转办的自治区政府门户网站“主席信箱”栏目网民信件，在规定时间内及时反馈情况。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运维机制</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建立健全专人负责制度、值班读网制度、资源管理机制、预算及项目管理制度、年报制度等运维机制。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注：以上内容通过会议纪要、制度文件、图片等材料证明，与自查整改报告一并报送。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restart"/>
            <w:tcBorders>
              <w:tl2br w:val="nil"/>
              <w:tr2bl w:val="nil"/>
            </w:tcBorders>
            <w:noWrap/>
            <w:vAlign w:val="center"/>
          </w:tcPr>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r>
              <w:rPr>
                <w:rFonts w:hint="eastAsia" w:ascii="仿宋_GB2312" w:hAnsi="等线" w:eastAsia="仿宋_GB2312" w:cs="宋体"/>
                <w:kern w:val="0"/>
                <w:szCs w:val="21"/>
              </w:rPr>
              <w:t>附加指标</w:t>
            </w:r>
            <w:r>
              <w:rPr>
                <w:rFonts w:hint="eastAsia" w:ascii="仿宋_GB2312" w:hAnsi="等线" w:eastAsia="仿宋_GB2312" w:cs="宋体"/>
                <w:kern w:val="0"/>
                <w:szCs w:val="21"/>
                <w:lang w:eastAsia="zh-CN"/>
              </w:rPr>
              <w:t>（</w:t>
            </w:r>
            <w:r>
              <w:rPr>
                <w:rFonts w:hint="eastAsia" w:ascii="仿宋_GB2312" w:hAnsi="等线" w:eastAsia="仿宋_GB2312" w:cs="宋体"/>
                <w:kern w:val="0"/>
                <w:szCs w:val="21"/>
                <w:lang w:val="en-US" w:eastAsia="zh-CN"/>
              </w:rPr>
              <w:t>30分</w:t>
            </w:r>
            <w:r>
              <w:rPr>
                <w:rFonts w:hint="eastAsia" w:ascii="仿宋_GB2312" w:hAnsi="等线" w:eastAsia="仿宋_GB2312" w:cs="宋体"/>
                <w:kern w:val="0"/>
                <w:szCs w:val="21"/>
                <w:lang w:eastAsia="zh-CN"/>
              </w:rPr>
              <w:t>）</w:t>
            </w: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3"/>
              <w:jc w:val="both"/>
              <w:rPr>
                <w:rFonts w:hint="eastAsia"/>
              </w:rPr>
            </w:pPr>
          </w:p>
          <w:p>
            <w:pPr>
              <w:pStyle w:val="2"/>
              <w:rPr>
                <w:rFonts w:hint="eastAsia" w:ascii="仿宋_GB2312" w:hAnsi="等线" w:eastAsia="仿宋_GB2312" w:cs="宋体"/>
                <w:kern w:val="0"/>
                <w:sz w:val="21"/>
                <w:szCs w:val="21"/>
              </w:rPr>
            </w:pPr>
          </w:p>
          <w:p>
            <w:pPr>
              <w:pStyle w:val="2"/>
              <w:jc w:val="center"/>
              <w:rPr>
                <w:rFonts w:hint="eastAsia" w:eastAsia="仿宋_GB2312"/>
                <w:lang w:eastAsia="zh-CN"/>
              </w:rPr>
            </w:pPr>
            <w:r>
              <w:rPr>
                <w:rFonts w:hint="eastAsia" w:ascii="仿宋_GB2312" w:hAnsi="等线" w:eastAsia="仿宋_GB2312" w:cs="宋体"/>
                <w:kern w:val="0"/>
                <w:sz w:val="21"/>
                <w:szCs w:val="21"/>
              </w:rPr>
              <w:t>附加指标</w:t>
            </w:r>
            <w:r>
              <w:rPr>
                <w:rFonts w:hint="eastAsia" w:ascii="仿宋_GB2312" w:hAnsi="等线" w:eastAsia="仿宋_GB2312" w:cs="宋体"/>
                <w:kern w:val="0"/>
                <w:sz w:val="21"/>
                <w:szCs w:val="21"/>
                <w:lang w:eastAsia="zh-CN"/>
              </w:rPr>
              <w:t>（</w:t>
            </w:r>
            <w:r>
              <w:rPr>
                <w:rFonts w:hint="eastAsia" w:ascii="仿宋_GB2312" w:hAnsi="等线" w:eastAsia="仿宋_GB2312" w:cs="宋体"/>
                <w:kern w:val="0"/>
                <w:sz w:val="21"/>
                <w:szCs w:val="21"/>
                <w:lang w:val="en-US" w:eastAsia="zh-CN"/>
              </w:rPr>
              <w:t>30分</w:t>
            </w:r>
            <w:r>
              <w:rPr>
                <w:rFonts w:hint="eastAsia" w:ascii="仿宋_GB2312" w:hAnsi="等线" w:eastAsia="仿宋_GB2312" w:cs="宋体"/>
                <w:kern w:val="0"/>
                <w:sz w:val="21"/>
                <w:szCs w:val="21"/>
                <w:lang w:eastAsia="zh-CN"/>
              </w:rPr>
              <w:t>）</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加分指标</w:t>
            </w:r>
            <w:r>
              <w:rPr>
                <w:rFonts w:hint="eastAsia" w:ascii="仿宋_GB2312" w:hAnsi="等线" w:cs="宋体"/>
                <w:kern w:val="0"/>
                <w:sz w:val="21"/>
                <w:szCs w:val="21"/>
                <w:lang w:eastAsia="zh-CN"/>
              </w:rPr>
              <w:t>（</w:t>
            </w:r>
            <w:r>
              <w:rPr>
                <w:rFonts w:hint="eastAsia" w:ascii="仿宋_GB2312" w:hAnsi="等线" w:cs="宋体"/>
                <w:kern w:val="0"/>
                <w:sz w:val="21"/>
                <w:szCs w:val="21"/>
                <w:lang w:val="en-US" w:eastAsia="zh-CN"/>
              </w:rPr>
              <w:t>16分</w:t>
            </w:r>
            <w:r>
              <w:rPr>
                <w:rFonts w:hint="eastAsia" w:ascii="仿宋_GB2312" w:hAnsi="等线" w:cs="宋体"/>
                <w:kern w:val="0"/>
                <w:sz w:val="21"/>
                <w:szCs w:val="21"/>
                <w:lang w:eastAsia="zh-CN"/>
              </w:rPr>
              <w:t>）</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创新案例</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在一体化服务、政务新媒体管理、新技术应用、数据开放等方面的创新做法（本年度和以往评估指标中涉及的创新性较低的案例不予采纳，发现不同网站上报材料相似度过高，经专家评审认定为疑似抄袭的，均不采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每个网站可推荐多个应用案例，从展现功能、做法模式、效益效果、制度机制、可推广性等方面简要描述，填报《全区政府网站绩效评估优秀创新案例申请表》与自评整改报告一并报送。报送多个案例时，仅采纳评分最高的两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精品栏目</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考核各网站整合网站信息资源，以人性化、喜闻乐见的方式设计并打造特色精品栏目的情况。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表彰宣传</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建设管理工作，如在信息公开、办事服务、互动交流、回应关切、集约化建设等方面的优秀做法模式、保障机制、实际效果等受到国务院相关部门、中央网信办、自治区人民政府等上级单位表彰的，每受到1次表彰加1分，累计最高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建设管理工作，如在信息公开、办事服务、互动交流、回应关切、集约化建设等方面的优秀做法模式、保障机制、实际效果等，被国家和自治区级主流媒体正面宣传报道的，每被报道1次加0.5分，累计最高加1分。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积极主动向广西壮族自治区人民政府门户网站报送本地区政府网站建设管理、“互联网</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政务服务”等方面的工作成果，被中国政府网站、广西壮族自治区人民政府门户网站采用的，每被采用1次加0.5分，累计最高加1分。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网站排名</w:t>
            </w:r>
          </w:p>
        </w:tc>
        <w:tc>
          <w:tcPr>
            <w:tcW w:w="709" w:type="dxa"/>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lang w:val="en-US" w:eastAsia="zh-CN"/>
              </w:rPr>
              <w:t>在</w:t>
            </w:r>
            <w:r>
              <w:rPr>
                <w:rFonts w:hint="eastAsia" w:ascii="仿宋_GB2312" w:hAnsi="等线" w:eastAsia="仿宋_GB2312" w:cs="宋体"/>
                <w:kern w:val="0"/>
                <w:sz w:val="21"/>
                <w:szCs w:val="21"/>
              </w:rPr>
              <w:t>工信部</w:t>
            </w:r>
            <w:r>
              <w:rPr>
                <w:rFonts w:hint="eastAsia" w:ascii="仿宋_GB2312" w:hAnsi="等线" w:eastAsia="仿宋_GB2312" w:cs="宋体"/>
                <w:kern w:val="0"/>
                <w:sz w:val="21"/>
                <w:szCs w:val="21"/>
                <w:lang w:val="en-US" w:eastAsia="zh-CN"/>
              </w:rPr>
              <w:t>组织的</w:t>
            </w:r>
            <w:r>
              <w:rPr>
                <w:rFonts w:hint="eastAsia" w:ascii="仿宋_GB2312" w:hAnsi="等线" w:eastAsia="仿宋_GB2312" w:cs="宋体"/>
                <w:kern w:val="0"/>
                <w:sz w:val="21"/>
                <w:szCs w:val="21"/>
              </w:rPr>
              <w:t>政府网站</w:t>
            </w:r>
            <w:r>
              <w:rPr>
                <w:rFonts w:hint="eastAsia" w:ascii="仿宋_GB2312" w:hAnsi="等线" w:eastAsia="仿宋_GB2312" w:cs="宋体"/>
                <w:kern w:val="0"/>
                <w:sz w:val="21"/>
                <w:szCs w:val="21"/>
                <w:highlight w:val="none"/>
              </w:rPr>
              <w:t>绩效评估</w:t>
            </w:r>
            <w:r>
              <w:rPr>
                <w:rFonts w:hint="eastAsia" w:ascii="仿宋_GB2312" w:hAnsi="等线" w:eastAsia="仿宋_GB2312" w:cs="宋体"/>
                <w:kern w:val="0"/>
                <w:sz w:val="21"/>
                <w:szCs w:val="21"/>
                <w:highlight w:val="none"/>
                <w:lang w:val="en-US" w:eastAsia="zh-CN"/>
              </w:rPr>
              <w:t>中的</w:t>
            </w:r>
            <w:r>
              <w:rPr>
                <w:rFonts w:hint="eastAsia" w:ascii="仿宋_GB2312" w:hAnsi="等线" w:eastAsia="仿宋_GB2312" w:cs="宋体"/>
                <w:kern w:val="0"/>
                <w:sz w:val="21"/>
                <w:szCs w:val="21"/>
                <w:highlight w:val="none"/>
              </w:rPr>
              <w:t>排</w:t>
            </w:r>
            <w:r>
              <w:rPr>
                <w:rFonts w:hint="eastAsia" w:ascii="仿宋_GB2312" w:hAnsi="等线" w:eastAsia="仿宋_GB2312" w:cs="宋体"/>
                <w:kern w:val="0"/>
                <w:sz w:val="21"/>
                <w:szCs w:val="21"/>
              </w:rPr>
              <w:t>名情况，按照所处梯队打分。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扣分指标</w:t>
            </w:r>
            <w:r>
              <w:rPr>
                <w:rFonts w:hint="eastAsia" w:ascii="仿宋_GB2312" w:hAnsi="等线" w:cs="宋体"/>
                <w:kern w:val="0"/>
                <w:sz w:val="21"/>
                <w:szCs w:val="21"/>
                <w:lang w:eastAsia="zh-CN"/>
              </w:rPr>
              <w:t>（</w:t>
            </w:r>
            <w:r>
              <w:rPr>
                <w:rFonts w:hint="eastAsia" w:ascii="仿宋_GB2312" w:hAnsi="等线" w:cs="宋体"/>
                <w:kern w:val="0"/>
                <w:sz w:val="21"/>
                <w:szCs w:val="21"/>
                <w:lang w:val="en-US" w:eastAsia="zh-CN"/>
              </w:rPr>
              <w:t>14分</w:t>
            </w:r>
            <w:r>
              <w:rPr>
                <w:rFonts w:hint="eastAsia" w:ascii="仿宋_GB2312" w:hAnsi="等线" w:cs="宋体"/>
                <w:kern w:val="0"/>
                <w:sz w:val="21"/>
                <w:szCs w:val="21"/>
                <w:lang w:eastAsia="zh-CN"/>
              </w:rPr>
              <w:t>）</w:t>
            </w: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健康情况</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8</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季度检查中出现网站和政务新媒体不合格的情况、严重表述错误情况。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安全事件</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发生信息安全事故、存在安全漏洞、内容失真、问题地图、政治方向错误等事件的，扣分。其中，政府门户网站每次1.5分，组织填报网站每次扣1分，累计最高扣3分。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通报曝光</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受到国家和自治区相关文件通报批评的，扣分。其中，政府门户网站每次1分，组织填报网站每次扣0.5分，累计最高扣2分。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color w:val="auto"/>
                <w:kern w:val="0"/>
                <w:szCs w:val="21"/>
              </w:rPr>
            </w:pPr>
          </w:p>
        </w:tc>
        <w:tc>
          <w:tcPr>
            <w:tcW w:w="803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发生媒体曝光或其他负面影响事件，造成重大舆情或引发群体性事件的，经查实属于网站管理或受到国家和自治区相关文件通报批评的，扣分。其中，政府门户网站每次1分，组织填报网站每次扣0.5分，累计最高扣2分。</w:t>
            </w:r>
          </w:p>
        </w:tc>
      </w:tr>
    </w:tbl>
    <w:p>
      <w:pPr>
        <w:rPr>
          <w:snapToGrid w:val="0"/>
        </w:r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sectPr>
          <w:pgSz w:w="16838" w:h="11905" w:orient="landscape"/>
          <w:pgMar w:top="1418" w:right="1928" w:bottom="1418" w:left="1814" w:header="851" w:footer="1474" w:gutter="0"/>
          <w:pgBorders>
            <w:top w:val="none" w:sz="0" w:space="0"/>
            <w:left w:val="none" w:sz="0" w:space="0"/>
            <w:bottom w:val="none" w:sz="0" w:space="0"/>
            <w:right w:val="none" w:sz="0" w:space="0"/>
          </w:pgBorders>
          <w:pgNumType w:fmt="decimal"/>
          <w:cols w:space="720" w:num="1"/>
          <w:titlePg/>
          <w:docGrid w:type="lines" w:linePitch="408" w:charSpace="0"/>
        </w:sect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r>
        <w:rPr>
          <w:rFonts w:ascii="Times New Roman Regular" w:hAnsi="Times New Roman Regular" w:eastAsia="黑体" w:cs="Times New Roman Regular"/>
          <w:snapToGrid w:val="0"/>
          <w:sz w:val="32"/>
          <w:szCs w:val="32"/>
        </w:rPr>
        <w:t>三、县（市、区）</w:t>
      </w:r>
      <w:r>
        <w:rPr>
          <w:rFonts w:hint="eastAsia" w:ascii="Times New Roman Regular" w:hAnsi="Times New Roman Regular" w:eastAsia="黑体" w:cs="Times New Roman Regular"/>
          <w:snapToGrid w:val="0"/>
          <w:sz w:val="32"/>
          <w:szCs w:val="32"/>
          <w:lang w:val="en-US" w:eastAsia="zh-CN"/>
        </w:rPr>
        <w:t>政府门户网站</w:t>
      </w:r>
      <w:r>
        <w:rPr>
          <w:rFonts w:ascii="Times New Roman Regular" w:hAnsi="Times New Roman Regular" w:eastAsia="黑体" w:cs="Times New Roman Regular"/>
          <w:snapToGrid w:val="0"/>
          <w:sz w:val="32"/>
          <w:szCs w:val="32"/>
        </w:rPr>
        <w:t>绩效评估指标</w:t>
      </w:r>
    </w:p>
    <w:tbl>
      <w:tblPr>
        <w:tblStyle w:val="5"/>
        <w:tblW w:w="12890"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4"/>
        <w:gridCol w:w="1134"/>
        <w:gridCol w:w="1134"/>
        <w:gridCol w:w="709"/>
        <w:gridCol w:w="87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trPr>
        <w:tc>
          <w:tcPr>
            <w:tcW w:w="1124" w:type="dxa"/>
            <w:tcBorders>
              <w:tl2br w:val="nil"/>
              <w:tr2bl w:val="nil"/>
            </w:tcBorders>
            <w:noWrap/>
            <w:vAlign w:val="center"/>
          </w:tcPr>
          <w:p>
            <w:pPr>
              <w:adjustRightInd w:val="0"/>
              <w:snapToGrid w:val="0"/>
              <w:spacing w:line="500" w:lineRule="exact"/>
              <w:jc w:val="center"/>
              <w:textAlignment w:val="center"/>
              <w:rPr>
                <w:rFonts w:hint="eastAsia" w:ascii="Times New Roman Regular" w:hAnsi="Times New Roman Regular" w:eastAsia="方正黑体_GBK" w:cs="Times New Roman Regular"/>
                <w:kern w:val="0"/>
                <w:sz w:val="21"/>
                <w:szCs w:val="21"/>
              </w:rPr>
            </w:pPr>
            <w:r>
              <w:rPr>
                <w:rFonts w:hint="eastAsia" w:ascii="Times New Roman Regular" w:hAnsi="Times New Roman Regular" w:eastAsia="方正黑体_GBK" w:cs="Times New Roman Regular"/>
                <w:kern w:val="0"/>
                <w:sz w:val="21"/>
                <w:szCs w:val="21"/>
              </w:rPr>
              <w:t>一级指标</w:t>
            </w:r>
          </w:p>
        </w:tc>
        <w:tc>
          <w:tcPr>
            <w:tcW w:w="1134" w:type="dxa"/>
            <w:tcBorders>
              <w:tl2br w:val="nil"/>
              <w:tr2bl w:val="nil"/>
            </w:tcBorders>
            <w:noWrap/>
            <w:vAlign w:val="center"/>
          </w:tcPr>
          <w:p>
            <w:pPr>
              <w:adjustRightInd w:val="0"/>
              <w:snapToGrid w:val="0"/>
              <w:spacing w:line="500" w:lineRule="exact"/>
              <w:jc w:val="center"/>
              <w:textAlignment w:val="center"/>
              <w:rPr>
                <w:rFonts w:hint="eastAsia" w:ascii="Times New Roman Regular" w:hAnsi="Times New Roman Regular" w:eastAsia="方正黑体_GBK" w:cs="Times New Roman Regular"/>
                <w:kern w:val="0"/>
                <w:sz w:val="21"/>
                <w:szCs w:val="21"/>
              </w:rPr>
            </w:pPr>
            <w:r>
              <w:rPr>
                <w:rFonts w:hint="eastAsia" w:ascii="Times New Roman Regular" w:hAnsi="Times New Roman Regular" w:eastAsia="方正黑体_GBK" w:cs="Times New Roman Regular"/>
                <w:kern w:val="0"/>
                <w:sz w:val="21"/>
                <w:szCs w:val="21"/>
              </w:rPr>
              <w:t>二级指标</w:t>
            </w:r>
          </w:p>
        </w:tc>
        <w:tc>
          <w:tcPr>
            <w:tcW w:w="1134" w:type="dxa"/>
            <w:tcBorders>
              <w:tl2br w:val="nil"/>
              <w:tr2bl w:val="nil"/>
            </w:tcBorders>
            <w:noWrap/>
            <w:vAlign w:val="center"/>
          </w:tcPr>
          <w:p>
            <w:pPr>
              <w:adjustRightInd w:val="0"/>
              <w:snapToGrid w:val="0"/>
              <w:spacing w:line="500" w:lineRule="exact"/>
              <w:jc w:val="center"/>
              <w:textAlignment w:val="center"/>
              <w:rPr>
                <w:rFonts w:hint="eastAsia" w:ascii="Times New Roman Regular" w:hAnsi="Times New Roman Regular" w:eastAsia="方正黑体_GBK" w:cs="Times New Roman Regular"/>
                <w:kern w:val="0"/>
                <w:sz w:val="21"/>
                <w:szCs w:val="21"/>
              </w:rPr>
            </w:pPr>
            <w:r>
              <w:rPr>
                <w:rFonts w:hint="eastAsia" w:ascii="Times New Roman Regular" w:hAnsi="Times New Roman Regular" w:eastAsia="方正黑体_GBK" w:cs="Times New Roman Regular"/>
                <w:kern w:val="0"/>
                <w:sz w:val="21"/>
                <w:szCs w:val="21"/>
              </w:rPr>
              <w:t>三级指标</w:t>
            </w:r>
          </w:p>
        </w:tc>
        <w:tc>
          <w:tcPr>
            <w:tcW w:w="709" w:type="dxa"/>
            <w:tcBorders>
              <w:tl2br w:val="nil"/>
              <w:tr2bl w:val="nil"/>
            </w:tcBorders>
            <w:noWrap/>
            <w:vAlign w:val="center"/>
          </w:tcPr>
          <w:p>
            <w:pPr>
              <w:adjustRightInd w:val="0"/>
              <w:snapToGrid w:val="0"/>
              <w:spacing w:line="500" w:lineRule="exact"/>
              <w:jc w:val="center"/>
              <w:textAlignment w:val="center"/>
              <w:rPr>
                <w:rFonts w:hint="eastAsia" w:ascii="Times New Roman Regular" w:hAnsi="Times New Roman Regular" w:eastAsia="方正黑体_GBK" w:cs="Times New Roman Regular"/>
                <w:kern w:val="0"/>
                <w:sz w:val="21"/>
                <w:szCs w:val="21"/>
              </w:rPr>
            </w:pPr>
            <w:r>
              <w:rPr>
                <w:rFonts w:hint="eastAsia" w:ascii="Times New Roman Regular" w:hAnsi="Times New Roman Regular" w:eastAsia="方正黑体_GBK" w:cs="Times New Roman Regular"/>
                <w:kern w:val="0"/>
                <w:sz w:val="21"/>
                <w:szCs w:val="21"/>
              </w:rPr>
              <w:t>权重</w:t>
            </w:r>
          </w:p>
        </w:tc>
        <w:tc>
          <w:tcPr>
            <w:tcW w:w="8789" w:type="dxa"/>
            <w:tcBorders>
              <w:tl2br w:val="nil"/>
              <w:tr2bl w:val="nil"/>
            </w:tcBorders>
            <w:noWrap w:val="0"/>
            <w:vAlign w:val="center"/>
          </w:tcPr>
          <w:p>
            <w:pPr>
              <w:adjustRightInd w:val="0"/>
              <w:snapToGrid w:val="0"/>
              <w:spacing w:line="500" w:lineRule="exact"/>
              <w:jc w:val="center"/>
              <w:textAlignment w:val="center"/>
              <w:rPr>
                <w:rFonts w:hint="eastAsia" w:ascii="Times New Roman Regular" w:hAnsi="Times New Roman Regular" w:eastAsia="方正黑体_GBK" w:cs="Times New Roman Regular"/>
                <w:kern w:val="0"/>
                <w:sz w:val="21"/>
                <w:szCs w:val="21"/>
              </w:rPr>
            </w:pPr>
            <w:r>
              <w:rPr>
                <w:rFonts w:hint="eastAsia" w:ascii="Times New Roman Regular" w:hAnsi="Times New Roman Regular" w:eastAsia="方正黑体_GBK" w:cs="Times New Roman Regular"/>
                <w:kern w:val="0"/>
                <w:sz w:val="21"/>
                <w:szCs w:val="21"/>
              </w:rPr>
              <w:t>评估内容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发布解读</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（38分）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发布解读</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（38分）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发布解读</w:t>
            </w: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（38分）</w:t>
            </w:r>
          </w:p>
        </w:tc>
        <w:tc>
          <w:tcPr>
            <w:tcW w:w="1134" w:type="dxa"/>
            <w:vMerge w:val="restart"/>
            <w:tcBorders>
              <w:tl2br w:val="nil"/>
              <w:tr2bl w:val="nil"/>
            </w:tcBorders>
            <w:noWrap/>
            <w:vAlign w:val="center"/>
          </w:tcPr>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jc w:val="center"/>
              <w:rPr>
                <w:rFonts w:hint="eastAsia" w:ascii="仿宋_GB2312" w:hAnsi="等线" w:eastAsia="仿宋_GB2312" w:cs="宋体"/>
                <w:kern w:val="0"/>
                <w:szCs w:val="21"/>
              </w:rPr>
            </w:pPr>
            <w:r>
              <w:rPr>
                <w:rFonts w:hint="eastAsia" w:ascii="仿宋_GB2312" w:hAnsi="等线" w:eastAsia="仿宋_GB2312" w:cs="宋体"/>
                <w:kern w:val="0"/>
                <w:szCs w:val="21"/>
              </w:rPr>
              <w:t>主动公开</w:t>
            </w: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jc w:val="center"/>
              <w:rPr>
                <w:rFonts w:hint="eastAsia"/>
              </w:rPr>
            </w:pPr>
            <w:r>
              <w:rPr>
                <w:rFonts w:hint="eastAsia" w:ascii="仿宋_GB2312" w:hAnsi="等线" w:eastAsia="仿宋_GB2312" w:cs="宋体"/>
                <w:kern w:val="0"/>
                <w:sz w:val="21"/>
                <w:szCs w:val="21"/>
              </w:rPr>
              <w:t>主动公开</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基础信息</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9</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考核概况、机构职能、领导信息、政务动态、文件资料、人事信息、规划计划、财政信息、数据发布、政府会议、建议提案等基础信息公开栏目建设和内容维护情况：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栏目体系是否合理，是否按照用户使用习惯或业务逻辑分类设置栏目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政府信息公开专栏内容是否符合政府信息公开条例第二十条、二十一条要求。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重点信息</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重大建设项目批准和实施、住房保障、国有土地使用权和矿业权出让领域、政府采购、国有产权交易、社会救助和社会福利、教育、公共医疗卫生、环境保护、灾害事故救援、公共文化体育、价格和收费、安全生产、食品安全等重点领域信息公开栏目建设和内容维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栏目体系是否合理，是否按照用户使用习惯或业务逻辑分类设置栏目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restart"/>
            <w:tcBorders>
              <w:tl2br w:val="nil"/>
              <w:tr2bl w:val="nil"/>
            </w:tcBorders>
            <w:noWrap/>
            <w:vAlign w:val="center"/>
          </w:tcPr>
          <w:p>
            <w:pPr>
              <w:pStyle w:val="2"/>
              <w:spacing w:line="240" w:lineRule="auto"/>
              <w:rPr>
                <w:rFonts w:hint="eastAsia" w:ascii="仿宋_GB2312" w:hAnsi="等线" w:eastAsia="仿宋_GB2312" w:cs="宋体"/>
                <w:kern w:val="0"/>
                <w:szCs w:val="21"/>
              </w:rPr>
            </w:pPr>
            <w:r>
              <w:rPr>
                <w:rFonts w:hint="eastAsia" w:ascii="仿宋_GB2312" w:hAnsi="等线" w:eastAsia="仿宋_GB2312" w:cs="宋体"/>
                <w:kern w:val="0"/>
                <w:szCs w:val="21"/>
              </w:rPr>
              <w:t>政策解读</w:t>
            </w:r>
          </w:p>
          <w:p>
            <w:pPr>
              <w:pStyle w:val="2"/>
              <w:spacing w:line="240" w:lineRule="auto"/>
              <w:rPr>
                <w:rFonts w:hint="eastAsia" w:ascii="仿宋_GB2312" w:hAnsi="等线" w:eastAsia="仿宋_GB2312" w:cs="宋体"/>
                <w:kern w:val="0"/>
                <w:sz w:val="21"/>
                <w:szCs w:val="21"/>
              </w:rPr>
            </w:pPr>
          </w:p>
          <w:p>
            <w:pPr>
              <w:pStyle w:val="2"/>
              <w:spacing w:line="240" w:lineRule="auto"/>
              <w:jc w:val="center"/>
              <w:rPr>
                <w:rFonts w:hint="eastAsia"/>
              </w:rPr>
            </w:pPr>
            <w:r>
              <w:rPr>
                <w:rFonts w:hint="eastAsia" w:ascii="仿宋_GB2312" w:hAnsi="等线" w:eastAsia="仿宋_GB2312" w:cs="宋体"/>
                <w:kern w:val="0"/>
                <w:sz w:val="21"/>
                <w:szCs w:val="21"/>
              </w:rPr>
              <w:t>政策解读</w:t>
            </w:r>
          </w:p>
        </w:tc>
        <w:tc>
          <w:tcPr>
            <w:tcW w:w="709" w:type="dxa"/>
            <w:vMerge w:val="restart"/>
            <w:tcBorders>
              <w:tl2br w:val="nil"/>
              <w:tr2bl w:val="nil"/>
            </w:tcBorders>
            <w:noWrap/>
            <w:vAlign w:val="center"/>
          </w:tcPr>
          <w:p>
            <w:pPr>
              <w:widowControl/>
              <w:spacing w:line="240" w:lineRule="auto"/>
              <w:jc w:val="center"/>
              <w:rPr>
                <w:rFonts w:hint="eastAsia" w:ascii="仿宋_GB2312" w:hAnsi="等线" w:cs="宋体"/>
                <w:kern w:val="0"/>
                <w:sz w:val="21"/>
                <w:szCs w:val="21"/>
              </w:rPr>
            </w:pPr>
            <w:r>
              <w:rPr>
                <w:rFonts w:hint="eastAsia" w:ascii="仿宋_GB2312" w:hAnsi="等线" w:cs="宋体"/>
                <w:kern w:val="0"/>
                <w:sz w:val="21"/>
                <w:szCs w:val="21"/>
              </w:rPr>
              <w:t>6</w:t>
            </w:r>
          </w:p>
          <w:p>
            <w:pPr>
              <w:pStyle w:val="2"/>
              <w:spacing w:line="240" w:lineRule="auto"/>
              <w:jc w:val="center"/>
              <w:rPr>
                <w:rFonts w:hint="eastAsia" w:ascii="仿宋_GB2312" w:hAnsi="等线" w:eastAsia="仿宋_GB2312" w:cs="宋体"/>
                <w:kern w:val="0"/>
                <w:sz w:val="21"/>
                <w:szCs w:val="21"/>
              </w:rPr>
            </w:pPr>
          </w:p>
          <w:p>
            <w:pPr>
              <w:pStyle w:val="2"/>
              <w:spacing w:line="240" w:lineRule="auto"/>
              <w:jc w:val="center"/>
              <w:rPr>
                <w:rFonts w:hint="eastAsia"/>
              </w:rPr>
            </w:pPr>
            <w:r>
              <w:rPr>
                <w:rFonts w:hint="eastAsia" w:ascii="仿宋_GB2312" w:hAnsi="等线" w:eastAsia="仿宋_GB2312" w:cs="宋体"/>
                <w:kern w:val="0"/>
                <w:sz w:val="21"/>
                <w:szCs w:val="21"/>
              </w:rPr>
              <w:t>6</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本地区通过政府网站开展政策解读的情况：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网站对本地区政策文件的解读比例和解读形式（如图形图表、音视频、新闻发布会、媒体报道等形式）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额外加分：实现便民惠企政策文件精准分类、精准送达和办事关联的。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restart"/>
            <w:tcBorders>
              <w:tl2br w:val="nil"/>
              <w:tr2bl w:val="nil"/>
            </w:tcBorders>
            <w:noWrap/>
            <w:vAlign w:val="center"/>
          </w:tcPr>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rPr>
                <w:rFonts w:hint="eastAsia" w:ascii="仿宋_GB2312" w:hAnsi="等线" w:eastAsia="仿宋_GB2312" w:cs="宋体"/>
                <w:kern w:val="0"/>
                <w:szCs w:val="21"/>
              </w:rPr>
            </w:pPr>
          </w:p>
          <w:p>
            <w:pPr>
              <w:pStyle w:val="2"/>
              <w:spacing w:line="240" w:lineRule="auto"/>
              <w:jc w:val="center"/>
              <w:rPr>
                <w:rFonts w:hint="eastAsia" w:ascii="仿宋_GB2312" w:hAnsi="等线" w:eastAsia="仿宋_GB2312" w:cs="宋体"/>
                <w:kern w:val="0"/>
                <w:szCs w:val="21"/>
              </w:rPr>
            </w:pPr>
            <w:r>
              <w:rPr>
                <w:rFonts w:hint="eastAsia" w:ascii="仿宋_GB2312" w:hAnsi="等线" w:eastAsia="仿宋_GB2312" w:cs="宋体"/>
                <w:kern w:val="0"/>
                <w:szCs w:val="21"/>
              </w:rPr>
              <w:t>特色栏目</w:t>
            </w: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rPr>
                <w:rFonts w:hint="eastAsia" w:ascii="仿宋_GB2312" w:hAnsi="等线" w:eastAsia="仿宋_GB2312" w:cs="宋体"/>
                <w:kern w:val="0"/>
                <w:sz w:val="21"/>
                <w:szCs w:val="21"/>
              </w:rPr>
            </w:pPr>
          </w:p>
          <w:p>
            <w:pPr>
              <w:pStyle w:val="2"/>
              <w:spacing w:line="240" w:lineRule="auto"/>
              <w:jc w:val="center"/>
              <w:rPr>
                <w:rFonts w:hint="eastAsia" w:ascii="仿宋_GB2312" w:hAnsi="等线" w:eastAsia="仿宋_GB2312" w:cs="宋体"/>
                <w:kern w:val="0"/>
                <w:sz w:val="21"/>
                <w:szCs w:val="21"/>
              </w:rPr>
            </w:pPr>
          </w:p>
          <w:p>
            <w:pPr>
              <w:pStyle w:val="2"/>
              <w:spacing w:line="240" w:lineRule="auto"/>
              <w:jc w:val="center"/>
              <w:rPr>
                <w:rFonts w:hint="eastAsia"/>
              </w:rPr>
            </w:pPr>
            <w:r>
              <w:rPr>
                <w:rFonts w:hint="eastAsia" w:ascii="仿宋_GB2312" w:hAnsi="等线" w:eastAsia="仿宋_GB2312" w:cs="宋体"/>
                <w:kern w:val="0"/>
                <w:sz w:val="21"/>
                <w:szCs w:val="21"/>
              </w:rPr>
              <w:t>特色栏目</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业务专题</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围绕本地区各部门核心业务职能策划相关专题专栏综合提供业务相关的政策依据、行业标准、知识库、在线查询、办事服务等各类资源的情况：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网站整合业务专题的数量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2.业务专题是否栏对资源进行整合并分类展现（是否分类聚合动态、政策、标准、互动、服务、查询等四类以上资源）</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restart"/>
            <w:tcBorders>
              <w:tl2br w:val="nil"/>
              <w:tr2bl w:val="nil"/>
            </w:tcBorders>
            <w:noWrap w:val="0"/>
            <w:vAlign w:val="center"/>
          </w:tcPr>
          <w:p>
            <w:pPr>
              <w:pStyle w:val="2"/>
              <w:spacing w:line="240" w:lineRule="auto"/>
              <w:jc w:val="center"/>
              <w:rPr>
                <w:rFonts w:hint="eastAsia" w:ascii="仿宋_GB2312" w:hAnsi="等线" w:eastAsia="仿宋_GB2312" w:cs="宋体"/>
                <w:kern w:val="0"/>
                <w:szCs w:val="21"/>
              </w:rPr>
            </w:pPr>
          </w:p>
          <w:p>
            <w:pPr>
              <w:pStyle w:val="2"/>
              <w:spacing w:line="240" w:lineRule="auto"/>
              <w:jc w:val="center"/>
              <w:rPr>
                <w:rFonts w:hint="eastAsia" w:ascii="仿宋_GB2312" w:hAnsi="等线" w:eastAsia="仿宋_GB2312" w:cs="宋体"/>
                <w:kern w:val="0"/>
                <w:szCs w:val="21"/>
              </w:rPr>
            </w:pPr>
            <w:r>
              <w:rPr>
                <w:rFonts w:hint="eastAsia" w:ascii="仿宋_GB2312" w:hAnsi="等线" w:eastAsia="仿宋_GB2312" w:cs="宋体"/>
                <w:kern w:val="0"/>
                <w:szCs w:val="21"/>
              </w:rPr>
              <w:t>年度重点工作</w:t>
            </w:r>
          </w:p>
          <w:p>
            <w:pPr>
              <w:pStyle w:val="2"/>
              <w:spacing w:line="240" w:lineRule="auto"/>
              <w:jc w:val="center"/>
              <w:rPr>
                <w:rFonts w:hint="eastAsia" w:ascii="仿宋_GB2312" w:hAnsi="等线" w:eastAsia="仿宋_GB2312" w:cs="宋体"/>
                <w:kern w:val="0"/>
                <w:sz w:val="21"/>
                <w:szCs w:val="21"/>
              </w:rPr>
            </w:pPr>
          </w:p>
          <w:p>
            <w:pPr>
              <w:pStyle w:val="2"/>
              <w:spacing w:line="240" w:lineRule="auto"/>
              <w:jc w:val="both"/>
              <w:rPr>
                <w:rFonts w:hint="eastAsia" w:ascii="仿宋_GB2312" w:hAnsi="等线" w:eastAsia="仿宋_GB2312" w:cs="宋体"/>
                <w:kern w:val="0"/>
                <w:sz w:val="21"/>
                <w:szCs w:val="21"/>
              </w:rPr>
            </w:pPr>
          </w:p>
          <w:p>
            <w:pPr>
              <w:pStyle w:val="2"/>
              <w:spacing w:line="240" w:lineRule="auto"/>
              <w:jc w:val="center"/>
              <w:rPr>
                <w:rFonts w:hint="eastAsia"/>
              </w:rPr>
            </w:pPr>
            <w:r>
              <w:rPr>
                <w:rFonts w:hint="eastAsia" w:ascii="仿宋_GB2312" w:hAnsi="等线" w:eastAsia="仿宋_GB2312" w:cs="宋体"/>
                <w:kern w:val="0"/>
                <w:sz w:val="21"/>
                <w:szCs w:val="21"/>
              </w:rPr>
              <w:t>年度重点工作</w:t>
            </w:r>
          </w:p>
        </w:tc>
        <w:tc>
          <w:tcPr>
            <w:tcW w:w="709" w:type="dxa"/>
            <w:vMerge w:val="restart"/>
            <w:tcBorders>
              <w:tl2br w:val="nil"/>
              <w:tr2bl w:val="nil"/>
            </w:tcBorders>
            <w:noWrap/>
            <w:vAlign w:val="center"/>
          </w:tcPr>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r>
              <w:rPr>
                <w:rFonts w:hint="eastAsia" w:ascii="仿宋_GB2312" w:hAnsi="等线" w:cs="宋体"/>
                <w:kern w:val="0"/>
                <w:sz w:val="21"/>
                <w:szCs w:val="21"/>
              </w:rPr>
              <w:t>6</w:t>
            </w: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center"/>
              <w:rPr>
                <w:rFonts w:hint="eastAsia" w:ascii="仿宋_GB2312" w:hAnsi="等线" w:cs="宋体"/>
                <w:kern w:val="0"/>
                <w:sz w:val="21"/>
                <w:szCs w:val="21"/>
              </w:rPr>
            </w:pPr>
          </w:p>
          <w:p>
            <w:pPr>
              <w:widowControl/>
              <w:spacing w:line="240" w:lineRule="auto"/>
              <w:jc w:val="both"/>
              <w:rPr>
                <w:rFonts w:hint="eastAsia" w:ascii="仿宋_GB2312" w:hAnsi="等线" w:cs="宋体"/>
                <w:kern w:val="0"/>
                <w:sz w:val="21"/>
                <w:szCs w:val="21"/>
              </w:rPr>
            </w:pPr>
          </w:p>
          <w:p>
            <w:pPr>
              <w:widowControl/>
              <w:spacing w:line="240" w:lineRule="auto"/>
              <w:jc w:val="center"/>
              <w:rPr>
                <w:rFonts w:hint="eastAsia"/>
              </w:rPr>
            </w:pPr>
            <w:r>
              <w:rPr>
                <w:rFonts w:hint="eastAsia" w:ascii="仿宋_GB2312" w:hAnsi="等线" w:cs="宋体"/>
                <w:kern w:val="0"/>
                <w:sz w:val="21"/>
                <w:szCs w:val="21"/>
              </w:rPr>
              <w:t>6</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网站围绕2023年政府工作报告中的某一项具体的年度重点工作开设专题专栏整合提供相关工作背景、政策依据、工作进展情况、工作成果、知识、服务等各类资源的情况：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年度度重点工作专栏的开设以及栏目体系设计情况</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专栏是否分类整合工作背景、政策依据、工作进展情况、工作成果、知识、服务、互动等三类以上资源的</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栏目内容与栏目名称的一致性、匹配度，是否存在关联性不高的信息噪音。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额外加分：栏目设计新颖、展现形式多样，能够将信息视作数据并开发设计应用类栏目的。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left"/>
              <w:rPr>
                <w:rFonts w:ascii="等线" w:hAnsi="等线" w:eastAsia="等线"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额外扣分：更新不及时、存在突击发布或弄虚作假情况的。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政务服务（6分）</w:t>
            </w:r>
          </w:p>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办事指南</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办事指南的规范性、准确性：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网站行政许可、行政确认、行政备案、其他行政权力等办事指南要素的规范性</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行政许可、行政确认、行政备案、其他行政权力等办事指南要素内容、办理流程、办理材料、表格下载等内容的准确性。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网办深度</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各地区实现全程网办事项的数量。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一件事一次办</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各地区实现群众眼中的一件事一次办服务的建设情况，包括数量、导航、压缩时限、材料复用、在线办理等情况。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查询服务</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网站提供环保绿化、教育科研、交通出行、证件办理、职业资格、婚姻生育、文体旅游、医疗卫生、社会保障、出境入境、住房保障等主要领域相关查询服务的情况：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政府网站提供查询服务的数量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政府网站提供本地区专属查询服务的情况，鼓励各地区利用统一信息资源库中数据资源开发设计专属于本地区的查询服务（仅链接到一体化平台，查询未包含本地区数据的不得分）</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政府网站提供查询服务的形式（分数由低到高依次为：上级名单名录/上级查询系统/本级名单名录/本级查询系统/本级检索系统）</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栏目内是否存在关联性不高的信息噪音。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额外加分：栏目设计新颖，查询内容贴合本地实际、采用地图或图形化等高级查询方式的。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额外扣分：存在2个（含）以上查询服务不可用，以及其他弄虚作假情况的。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jc w:val="center"/>
              <w:rPr>
                <w:rFonts w:hint="eastAsia" w:ascii="仿宋_GB2312" w:hAnsi="等线" w:eastAsia="仿宋_GB2312" w:cs="宋体"/>
                <w:kern w:val="0"/>
                <w:szCs w:val="21"/>
              </w:rPr>
            </w:pPr>
            <w:r>
              <w:rPr>
                <w:rFonts w:hint="eastAsia" w:ascii="仿宋_GB2312" w:hAnsi="等线" w:eastAsia="仿宋_GB2312" w:cs="宋体"/>
                <w:kern w:val="0"/>
                <w:szCs w:val="21"/>
              </w:rPr>
              <w:t>资源融合（10分）</w:t>
            </w: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rPr>
                <w:rFonts w:hint="eastAsia" w:ascii="仿宋_GB2312" w:hAnsi="等线" w:eastAsia="仿宋_GB2312" w:cs="宋体"/>
                <w:kern w:val="0"/>
                <w:sz w:val="21"/>
                <w:szCs w:val="21"/>
              </w:rPr>
            </w:pPr>
          </w:p>
          <w:p>
            <w:pPr>
              <w:pStyle w:val="2"/>
              <w:jc w:val="center"/>
              <w:rPr>
                <w:rFonts w:hint="eastAsia"/>
              </w:rPr>
            </w:pPr>
            <w:r>
              <w:rPr>
                <w:rFonts w:hint="eastAsia" w:ascii="仿宋_GB2312" w:hAnsi="等线" w:eastAsia="仿宋_GB2312" w:cs="宋体"/>
                <w:kern w:val="0"/>
                <w:sz w:val="21"/>
                <w:szCs w:val="21"/>
              </w:rPr>
              <w:t>资源融合（10分）</w:t>
            </w: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教育</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教育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社保</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社保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住房</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住房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交通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交通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就业创业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就业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社会救助和福利</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社会救助和福利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婚姻生育</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婚育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医疗健康</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医疗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证件办理</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证件办理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center"/>
              <w:rPr>
                <w:rFonts w:ascii="仿宋_GB2312" w:hAnsi="等线" w:eastAsia="仿宋_GB2312"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企业开办</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评估政府门户网站在企业开办领域是否依据用户需求和业务逻辑设计导航体系，提供群众眼中的沉浸式、情景式一件事服务，整合提供政策通知、政务公开、办事服务、查询服务、标准规范、互动交流等各类信息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互动交流（8分）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互动交流（8分）</w:t>
            </w:r>
          </w:p>
          <w:p>
            <w:pPr>
              <w:pStyle w:val="2"/>
              <w:rPr>
                <w:rFonts w:hint="eastAsia"/>
              </w:rPr>
            </w:pPr>
          </w:p>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咨询互动</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网站咨询互动渠道的实效性：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1.通过模拟用户进行简单问题提问检查网站是否在咨询后5个工作日内答复且内容准确</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2.留言统计信息的更新情况：实时更新/月度更新/月度以上。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额外扣分：留言统计数据弄虚作假、模拟用户提出的简单问题超过10个工作日未答复或答复内容存在敷衍塞责情况的。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民意征集</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网站民意征集渠道建设情况、内容维护情况、功能实现情况以及征集实效情况：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1.是否通过在线方式开展（查看征集公告中提交方式）</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2.是否围绕政府决策、重点工作、用户关注热点开展意见征集</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3.一年内开展的民意征集（仅民意征集，不包括网上调查）次数不少于6次</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4.是否公开收到意见的总体情况</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5.是否公开意见具体采纳情况。（1年内开展的民意征集活动，反馈结果全部为空白/共有0人发表意见或未收到意见等模板性话术显示，此项不得分）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额外加分：对收到的意见逐一进行答复的。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额外扣分：活动均为转载或与本地区无关、意见反馈内容存在弄虚作假的。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功能设计（4分）</w:t>
            </w: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规范设计</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网站规范性建设情况：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1.是否按照《政府网站发展指引》-网页设计规范进行网页设计</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2.是否按照《国务院办公厅政府信息与政务公开办公室关于规范政府信息公开平台有关事项的通知》要求设置政府信息公开栏目。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无障碍</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网站无障碍功能建设情况：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1.考核网站开展无障碍改造的情况。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2.适老化专区建设情况。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额外扣分：无障碍功能不可用或适老化专区内容与本网站无关的。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智慧应用（12分）</w:t>
            </w: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智慧应用（12分）</w:t>
            </w:r>
          </w:p>
          <w:p>
            <w:pPr>
              <w:pStyle w:val="2"/>
              <w:rPr>
                <w:rFonts w:hint="eastAsia"/>
              </w:rPr>
            </w:pPr>
          </w:p>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智能问答</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政府网站智能问答功能实现情况：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1.是否提供智能问答业务知识库</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2.模拟用户测试答复准确度</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3.是否实现智能提示、拼音理解、错别字识别、复杂意图理解、智能联想等功能。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额外加分：实现了融合答案输出的。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额外扣分：功能不可用或答复内容与本网站内容无关的。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智能搜索</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政府网站智能搜索实现情况：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网站是否提供错别字自动纠正、关键词推荐、拼音转化搜索和通俗语言搜索等模糊搜索功能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2.</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网站是否提供搜索结果分类展示以及根据内容相关性强弱提供排序的功能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3.</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网站是否提供网站群全站搜索功能</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优先展现的搜索结果与搜索关键词的高度关联匹配程度。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加分：针对政策文件、办事服务类资源提供多条件、多维度筛选功能，便于公众快速搜索自己所需要的政策与服务。针对关联性高、逻辑性强的服务事项，能够围绕用户需求和业务逻辑提供集成式、场景式的搜索聚合展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额外扣分：选取网站的政策文件、办事服务、查询服务、名单名录等资源的专业关键词测试，搜不到资源的。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智能推荐</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网站是否定期分析办事服务热点、咨询投诉热点问题在网站首页及时推荐热点办事服务、热点政策措施。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额外扣分：智能推荐功能不可用或不同用户群体登录时推荐相同内容的。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jc w:val="left"/>
              <w:rPr>
                <w:rFonts w:ascii="等线" w:hAnsi="等线" w:eastAsia="等线" w:cs="宋体"/>
                <w:kern w:val="0"/>
                <w:szCs w:val="21"/>
              </w:rPr>
            </w:pPr>
          </w:p>
        </w:tc>
        <w:tc>
          <w:tcPr>
            <w:tcW w:w="2268" w:type="dxa"/>
            <w:gridSpan w:val="2"/>
            <w:vMerge w:val="restart"/>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数据应用</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网站利用统一信息资源库中汇聚的信息资源开发设计轻量化数据应用的情况。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额外扣分：以静态栏目或其他弄虚作假方式伪装成动态数据应用栏目的。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widowControl/>
              <w:spacing w:line="240" w:lineRule="auto"/>
              <w:jc w:val="center"/>
              <w:rPr>
                <w:rFonts w:ascii="仿宋_GB2312" w:hAnsi="等线" w:eastAsia="仿宋_GB2312" w:cs="宋体"/>
                <w:kern w:val="0"/>
                <w:szCs w:val="21"/>
              </w:rPr>
            </w:pPr>
            <w:r>
              <w:rPr>
                <w:rFonts w:hint="eastAsia" w:ascii="仿宋_GB2312" w:hAnsi="等线" w:eastAsia="仿宋_GB2312" w:cs="宋体"/>
                <w:kern w:val="0"/>
                <w:sz w:val="21"/>
                <w:szCs w:val="21"/>
              </w:rPr>
              <w:t>政务新媒体（15分）</w:t>
            </w:r>
          </w:p>
          <w:p>
            <w:pPr>
              <w:spacing w:line="240" w:lineRule="auto"/>
              <w:jc w:val="left"/>
              <w:rPr>
                <w:rFonts w:ascii="仿宋_GB2312" w:hAnsi="等线" w:eastAsia="仿宋_GB2312"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集约开设</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1.按照一单位一平台一账号的原则进行集约开设政务新媒体</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仿宋_GB2312" w:hAnsi="等线" w:eastAsia="仿宋_GB2312" w:cs="宋体"/>
                <w:kern w:val="0"/>
                <w:szCs w:val="21"/>
              </w:rPr>
            </w:pPr>
          </w:p>
        </w:tc>
        <w:tc>
          <w:tcPr>
            <w:tcW w:w="2268" w:type="dxa"/>
            <w:gridSpan w:val="2"/>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2.通过政务新媒体运行管理系统统一管理全市范围内的政务新媒体。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日常监管</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本地区政务新媒体季度检查情况，若检查N个，M个不合格，则得分为权重*(N-M)/N。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网站协同</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cs="宋体"/>
                <w:kern w:val="0"/>
                <w:sz w:val="21"/>
                <w:szCs w:val="21"/>
                <w:lang w:eastAsia="zh-CN"/>
              </w:rPr>
              <w:t>考核</w:t>
            </w:r>
            <w:r>
              <w:rPr>
                <w:rFonts w:hint="eastAsia" w:ascii="仿宋_GB2312" w:hAnsi="等线" w:eastAsia="仿宋_GB2312" w:cs="宋体"/>
                <w:kern w:val="0"/>
                <w:sz w:val="21"/>
                <w:szCs w:val="21"/>
              </w:rPr>
              <w:t>门户网站对应政务新媒体是否与网站协同发布内容提供服务。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1.发布的信息和提供的服务是否与政府网站同源。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2.政府网站发布的重要政策解读、民意征集活动是否在政务新媒体同步发声。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内容发布</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政务新媒体发布的内容更新情况和内容质量：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1.信息发布频率</w:t>
            </w:r>
            <w:r>
              <w:rPr>
                <w:rFonts w:hint="eastAsia" w:ascii="仿宋_GB2312" w:hAnsi="等线" w:cs="宋体"/>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2.页面是否适配移动端。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spacing w:line="240" w:lineRule="auto"/>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移动服务</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适配移动端的办事服务和便民查询服务提供情况。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left"/>
              <w:rPr>
                <w:rFonts w:ascii="等线" w:hAnsi="等线" w:eastAsia="等线" w:cs="宋体"/>
                <w:kern w:val="0"/>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原创比例</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3</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抽查文章（不包括要求转载的文章）计算原创比例。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p>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机制保障（7分）</w:t>
            </w:r>
          </w:p>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应知应会</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2023年全区</w:t>
            </w:r>
            <w:r>
              <w:rPr>
                <w:rFonts w:hint="eastAsia" w:ascii="仿宋_GB2312" w:hAnsi="等线" w:eastAsia="仿宋_GB2312" w:cs="宋体"/>
                <w:kern w:val="0"/>
                <w:sz w:val="21"/>
                <w:szCs w:val="21"/>
                <w:lang w:eastAsia="zh-CN"/>
              </w:rPr>
              <w:t>政府网站与政务新媒体</w:t>
            </w:r>
            <w:r>
              <w:rPr>
                <w:rFonts w:hint="eastAsia" w:ascii="仿宋_GB2312" w:hAnsi="等线" w:eastAsia="仿宋_GB2312" w:cs="宋体"/>
                <w:kern w:val="0"/>
                <w:sz w:val="21"/>
                <w:szCs w:val="21"/>
              </w:rPr>
              <w:t>应知应会知识竞赛成绩。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主席信箱</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及时办理自治区转办的自治区政府门户网站“主席信箱”栏目网民信件，在规定时间内及时反馈情况。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运维机制</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1</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建立健全专人负责制度、值班读网制度、资源管理机制、预算及项目管理制度、年报制度等运维机制。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2268" w:type="dxa"/>
            <w:gridSpan w:val="2"/>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709"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注：以上内容通过会议纪要、制度文件、图片等材料证明，与自查整改报告一并报送。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restart"/>
            <w:tcBorders>
              <w:tl2br w:val="nil"/>
              <w:tr2bl w:val="nil"/>
            </w:tcBorders>
            <w:noWrap/>
            <w:vAlign w:val="center"/>
          </w:tcPr>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pStyle w:val="2"/>
              <w:rPr>
                <w:rFonts w:hint="eastAsia" w:ascii="仿宋_GB2312" w:hAnsi="等线" w:eastAsia="仿宋_GB2312" w:cs="宋体"/>
                <w:kern w:val="0"/>
                <w:szCs w:val="21"/>
              </w:rPr>
            </w:pPr>
          </w:p>
          <w:p>
            <w:pPr>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附加指标</w:t>
            </w:r>
            <w:r>
              <w:rPr>
                <w:rFonts w:hint="eastAsia" w:ascii="仿宋_GB2312" w:hAnsi="等线" w:eastAsia="仿宋_GB2312" w:cs="宋体"/>
                <w:kern w:val="0"/>
                <w:sz w:val="21"/>
                <w:szCs w:val="21"/>
                <w:lang w:eastAsia="zh-CN"/>
              </w:rPr>
              <w:t>（</w:t>
            </w:r>
            <w:r>
              <w:rPr>
                <w:rFonts w:hint="eastAsia" w:ascii="仿宋_GB2312" w:hAnsi="等线" w:cs="宋体"/>
                <w:kern w:val="0"/>
                <w:sz w:val="21"/>
                <w:szCs w:val="21"/>
                <w:lang w:val="en-US" w:eastAsia="zh-CN"/>
              </w:rPr>
              <w:t>30</w:t>
            </w:r>
            <w:r>
              <w:rPr>
                <w:rFonts w:hint="eastAsia" w:ascii="仿宋_GB2312" w:hAnsi="等线" w:eastAsia="仿宋_GB2312" w:cs="宋体"/>
                <w:kern w:val="0"/>
                <w:sz w:val="21"/>
                <w:szCs w:val="21"/>
                <w:lang w:val="en-US" w:eastAsia="zh-CN"/>
              </w:rPr>
              <w:t>分</w:t>
            </w:r>
            <w:r>
              <w:rPr>
                <w:rFonts w:hint="eastAsia" w:ascii="仿宋_GB2312" w:hAnsi="等线" w:eastAsia="仿宋_GB2312" w:cs="宋体"/>
                <w:kern w:val="0"/>
                <w:sz w:val="21"/>
                <w:szCs w:val="21"/>
                <w:lang w:eastAsia="zh-CN"/>
              </w:rPr>
              <w:t>）</w:t>
            </w: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both"/>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eastAsia="仿宋_GB2312"/>
                <w:lang w:eastAsia="zh-CN"/>
              </w:rPr>
            </w:pPr>
            <w:r>
              <w:rPr>
                <w:rFonts w:hint="eastAsia" w:ascii="仿宋_GB2312" w:hAnsi="等线" w:eastAsia="仿宋_GB2312" w:cs="宋体"/>
                <w:kern w:val="0"/>
                <w:sz w:val="21"/>
                <w:szCs w:val="21"/>
              </w:rPr>
              <w:t>附加指标</w:t>
            </w:r>
            <w:r>
              <w:rPr>
                <w:rFonts w:hint="eastAsia" w:ascii="仿宋_GB2312" w:hAnsi="等线" w:eastAsia="仿宋_GB2312" w:cs="宋体"/>
                <w:kern w:val="0"/>
                <w:sz w:val="21"/>
                <w:szCs w:val="21"/>
                <w:lang w:eastAsia="zh-CN"/>
              </w:rPr>
              <w:t>（</w:t>
            </w:r>
            <w:r>
              <w:rPr>
                <w:rFonts w:hint="eastAsia" w:ascii="仿宋_GB2312" w:hAnsi="等线" w:eastAsia="仿宋_GB2312" w:cs="宋体"/>
                <w:kern w:val="0"/>
                <w:sz w:val="21"/>
                <w:szCs w:val="21"/>
                <w:lang w:val="en-US" w:eastAsia="zh-CN"/>
              </w:rPr>
              <w:t>30分</w:t>
            </w:r>
            <w:r>
              <w:rPr>
                <w:rFonts w:hint="eastAsia" w:ascii="仿宋_GB2312" w:hAnsi="等线" w:eastAsia="仿宋_GB2312" w:cs="宋体"/>
                <w:kern w:val="0"/>
                <w:sz w:val="21"/>
                <w:szCs w:val="21"/>
                <w:lang w:eastAsia="zh-CN"/>
              </w:rPr>
              <w:t>）</w:t>
            </w:r>
          </w:p>
        </w:tc>
        <w:tc>
          <w:tcPr>
            <w:tcW w:w="1134" w:type="dxa"/>
            <w:vMerge w:val="restart"/>
            <w:tcBorders>
              <w:tl2br w:val="nil"/>
              <w:tr2bl w:val="nil"/>
            </w:tcBorders>
            <w:noWrap/>
            <w:vAlign w:val="center"/>
          </w:tcPr>
          <w:p>
            <w:pPr>
              <w:pStyle w:val="2"/>
              <w:jc w:val="center"/>
              <w:rPr>
                <w:rFonts w:hint="eastAsia" w:ascii="仿宋_GB2312" w:hAnsi="等线" w:eastAsia="仿宋_GB2312" w:cs="宋体"/>
                <w:kern w:val="0"/>
                <w:szCs w:val="21"/>
              </w:rPr>
            </w:pPr>
          </w:p>
          <w:p>
            <w:pPr>
              <w:pStyle w:val="2"/>
              <w:jc w:val="center"/>
              <w:rPr>
                <w:rFonts w:hint="eastAsia" w:ascii="仿宋_GB2312" w:hAnsi="等线" w:eastAsia="仿宋_GB2312" w:cs="宋体"/>
                <w:kern w:val="0"/>
                <w:szCs w:val="21"/>
              </w:rPr>
            </w:pPr>
          </w:p>
          <w:p>
            <w:pPr>
              <w:pStyle w:val="2"/>
              <w:jc w:val="center"/>
              <w:rPr>
                <w:rFonts w:hint="eastAsia" w:ascii="仿宋_GB2312" w:hAnsi="等线" w:eastAsia="仿宋_GB2312" w:cs="宋体"/>
                <w:kern w:val="0"/>
                <w:szCs w:val="21"/>
              </w:rPr>
            </w:pPr>
          </w:p>
          <w:p>
            <w:pPr>
              <w:pStyle w:val="2"/>
              <w:jc w:val="center"/>
              <w:rPr>
                <w:rFonts w:hint="eastAsia" w:ascii="仿宋_GB2312" w:hAnsi="等线" w:eastAsia="仿宋_GB2312" w:cs="宋体"/>
                <w:kern w:val="0"/>
                <w:szCs w:val="21"/>
              </w:rPr>
            </w:pPr>
          </w:p>
          <w:p>
            <w:pPr>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加分指标</w:t>
            </w:r>
            <w:r>
              <w:rPr>
                <w:rFonts w:hint="eastAsia" w:ascii="仿宋_GB2312" w:hAnsi="等线" w:eastAsia="仿宋_GB2312" w:cs="宋体"/>
                <w:kern w:val="0"/>
                <w:sz w:val="21"/>
                <w:szCs w:val="21"/>
                <w:lang w:eastAsia="zh-CN"/>
              </w:rPr>
              <w:t>（</w:t>
            </w:r>
            <w:r>
              <w:rPr>
                <w:rFonts w:hint="eastAsia" w:ascii="仿宋_GB2312" w:hAnsi="等线" w:cs="宋体"/>
                <w:kern w:val="0"/>
                <w:sz w:val="21"/>
                <w:szCs w:val="21"/>
                <w:lang w:val="en-US" w:eastAsia="zh-CN"/>
              </w:rPr>
              <w:t>16</w:t>
            </w:r>
            <w:r>
              <w:rPr>
                <w:rFonts w:hint="eastAsia" w:ascii="仿宋_GB2312" w:hAnsi="等线" w:eastAsia="仿宋_GB2312" w:cs="宋体"/>
                <w:kern w:val="0"/>
                <w:sz w:val="21"/>
                <w:szCs w:val="21"/>
                <w:lang w:val="en-US" w:eastAsia="zh-CN"/>
              </w:rPr>
              <w:t>分</w:t>
            </w:r>
            <w:r>
              <w:rPr>
                <w:rFonts w:hint="eastAsia" w:ascii="仿宋_GB2312" w:hAnsi="等线" w:eastAsia="仿宋_GB2312" w:cs="宋体"/>
                <w:kern w:val="0"/>
                <w:sz w:val="21"/>
                <w:szCs w:val="21"/>
                <w:lang w:eastAsia="zh-CN"/>
              </w:rPr>
              <w:t>）</w:t>
            </w: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ascii="仿宋_GB2312" w:hAnsi="等线" w:eastAsia="仿宋_GB2312" w:cs="宋体"/>
                <w:kern w:val="0"/>
                <w:sz w:val="21"/>
                <w:szCs w:val="21"/>
              </w:rPr>
            </w:pPr>
          </w:p>
          <w:p>
            <w:pPr>
              <w:pStyle w:val="2"/>
              <w:jc w:val="center"/>
              <w:rPr>
                <w:rFonts w:hint="eastAsia" w:eastAsia="仿宋_GB2312"/>
                <w:lang w:eastAsia="zh-CN"/>
              </w:rPr>
            </w:pPr>
            <w:r>
              <w:rPr>
                <w:rFonts w:hint="eastAsia" w:ascii="仿宋_GB2312" w:hAnsi="等线" w:eastAsia="仿宋_GB2312" w:cs="宋体"/>
                <w:kern w:val="0"/>
                <w:sz w:val="21"/>
                <w:szCs w:val="21"/>
              </w:rPr>
              <w:t>加分指标</w:t>
            </w:r>
            <w:r>
              <w:rPr>
                <w:rFonts w:hint="eastAsia" w:ascii="仿宋_GB2312" w:hAnsi="等线" w:eastAsia="仿宋_GB2312" w:cs="宋体"/>
                <w:kern w:val="0"/>
                <w:sz w:val="21"/>
                <w:szCs w:val="21"/>
                <w:lang w:eastAsia="zh-CN"/>
              </w:rPr>
              <w:t>（</w:t>
            </w:r>
            <w:r>
              <w:rPr>
                <w:rFonts w:hint="eastAsia" w:ascii="仿宋_GB2312" w:hAnsi="等线" w:eastAsia="仿宋_GB2312" w:cs="宋体"/>
                <w:kern w:val="0"/>
                <w:sz w:val="21"/>
                <w:szCs w:val="21"/>
                <w:lang w:val="en-US" w:eastAsia="zh-CN"/>
              </w:rPr>
              <w:t>16分</w:t>
            </w:r>
            <w:r>
              <w:rPr>
                <w:rFonts w:hint="eastAsia" w:ascii="仿宋_GB2312" w:hAnsi="等线" w:eastAsia="仿宋_GB2312" w:cs="宋体"/>
                <w:kern w:val="0"/>
                <w:sz w:val="21"/>
                <w:szCs w:val="21"/>
                <w:lang w:eastAsia="zh-CN"/>
              </w:rPr>
              <w:t>）</w:t>
            </w: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创新案例</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政府网站在一体化服务、政务新媒体管理、新技术应用、数据开放等方面的创新做法（本年度和以往评估指标中涉及的创新性较低的案例不予采纳，发现不同网站上报材料相似度过高，经专家评审认定为疑似抄袭的，均不采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每个网站可推荐多个应用案例，从展现功能、做法模式、效益效果、制度机制、可推广性等方面简要描述，填报《全区政府网站绩效评估优秀创新案例申请表》与自评整改报告一并报送。报送多个案例时，仅采纳评分最高的两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精品栏目</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5</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考核各网站整合网站信息资源，以人性化、喜闻乐见的方式设计并打造特色精品栏目的情况。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表彰宣传</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建设管理工作，如在信息公开、办事服务、互动交流、回应关切、集约化建设等方面的优秀做法模式、保障机制、实际效果等受到国务院相关部门、中央网信办、自治区人民政府等上级单位表彰的，每受到1次表彰加1分，累计最高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建设管理工作，如在信息公开、办事服务、互动交流、回应关切、集约化建设等方面的优秀做法模式、保障机制、实际效果等，被国家和自治区级主流媒体正面宣传报道的，每被报道1次加0.5分，累计最高加1分。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积极主动向广西壮族自治区人民政府门户网站报送本地区政府网站建设管理、“互联网</w:t>
            </w:r>
            <w:r>
              <w:rPr>
                <w:rFonts w:hint="eastAsia" w:ascii="仿宋_GB2312" w:hAnsi="等线" w:cs="宋体"/>
                <w:kern w:val="0"/>
                <w:sz w:val="21"/>
                <w:szCs w:val="21"/>
                <w:lang w:eastAsia="zh-CN"/>
              </w:rPr>
              <w:t>＋</w:t>
            </w:r>
            <w:r>
              <w:rPr>
                <w:rFonts w:hint="eastAsia" w:ascii="仿宋_GB2312" w:hAnsi="等线" w:eastAsia="仿宋_GB2312" w:cs="宋体"/>
                <w:kern w:val="0"/>
                <w:sz w:val="21"/>
                <w:szCs w:val="21"/>
              </w:rPr>
              <w:t>政务服务”等方面的工作成果，被中国政府网站、广西壮族自治区人民政府门户网站采用的，每被采用1次加0.5分，累计最高加1分。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网站排名</w:t>
            </w:r>
          </w:p>
        </w:tc>
        <w:tc>
          <w:tcPr>
            <w:tcW w:w="709" w:type="dxa"/>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工信部政府网站排名情况，按照所处梯队打分。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lang w:eastAsia="zh-CN"/>
              </w:rPr>
            </w:pPr>
            <w:r>
              <w:rPr>
                <w:rFonts w:hint="eastAsia" w:ascii="仿宋_GB2312" w:hAnsi="等线" w:eastAsia="仿宋_GB2312" w:cs="宋体"/>
                <w:kern w:val="0"/>
                <w:sz w:val="21"/>
                <w:szCs w:val="21"/>
              </w:rPr>
              <w:t>扣分指标</w:t>
            </w:r>
            <w:r>
              <w:rPr>
                <w:rFonts w:hint="eastAsia" w:ascii="仿宋_GB2312" w:hAnsi="等线" w:cs="宋体"/>
                <w:kern w:val="0"/>
                <w:sz w:val="21"/>
                <w:szCs w:val="21"/>
                <w:lang w:eastAsia="zh-CN"/>
              </w:rPr>
              <w:t>（</w:t>
            </w:r>
            <w:r>
              <w:rPr>
                <w:rFonts w:hint="eastAsia" w:ascii="仿宋_GB2312" w:hAnsi="等线" w:cs="宋体"/>
                <w:kern w:val="0"/>
                <w:sz w:val="21"/>
                <w:szCs w:val="21"/>
                <w:lang w:val="en-US" w:eastAsia="zh-CN"/>
              </w:rPr>
              <w:t>14分</w:t>
            </w:r>
            <w:r>
              <w:rPr>
                <w:rFonts w:hint="eastAsia" w:ascii="仿宋_GB2312" w:hAnsi="等线" w:cs="宋体"/>
                <w:kern w:val="0"/>
                <w:sz w:val="21"/>
                <w:szCs w:val="21"/>
                <w:lang w:eastAsia="zh-CN"/>
              </w:rPr>
              <w:t>）</w:t>
            </w: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健康情况</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8</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季度检查中出现网站和政务新媒体不合格的情况、严重表述错误情况。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安全事件</w:t>
            </w:r>
          </w:p>
        </w:tc>
        <w:tc>
          <w:tcPr>
            <w:tcW w:w="709" w:type="dxa"/>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4</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发生信息安全事故、存在安全漏洞、内容失真、问题地图、政治方向错误等事件的，扣分。其中，政府门户网站每次1.5分，组织填报网站每次扣1分，累计最高扣3分。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spacing w:line="240" w:lineRule="auto"/>
              <w:jc w:val="center"/>
              <w:rPr>
                <w:rFonts w:hint="eastAsia" w:ascii="仿宋_GB2312" w:hAnsi="等线" w:eastAsia="仿宋_GB2312" w:cs="宋体"/>
                <w:kern w:val="0"/>
                <w:sz w:val="21"/>
                <w:szCs w:val="21"/>
              </w:rPr>
            </w:pPr>
          </w:p>
        </w:tc>
        <w:tc>
          <w:tcPr>
            <w:tcW w:w="1134"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通报曝光</w:t>
            </w:r>
          </w:p>
        </w:tc>
        <w:tc>
          <w:tcPr>
            <w:tcW w:w="709" w:type="dxa"/>
            <w:vMerge w:val="restart"/>
            <w:tcBorders>
              <w:tl2br w:val="nil"/>
              <w:tr2bl w:val="nil"/>
            </w:tcBorders>
            <w:noWrap/>
            <w:vAlign w:val="center"/>
          </w:tcPr>
          <w:p>
            <w:pPr>
              <w:widowControl/>
              <w:spacing w:line="240" w:lineRule="auto"/>
              <w:jc w:val="center"/>
              <w:rPr>
                <w:rFonts w:hint="eastAsia" w:ascii="仿宋_GB2312" w:hAnsi="等线" w:eastAsia="仿宋_GB2312" w:cs="宋体"/>
                <w:kern w:val="0"/>
                <w:sz w:val="21"/>
                <w:szCs w:val="21"/>
              </w:rPr>
            </w:pPr>
            <w:r>
              <w:rPr>
                <w:rFonts w:hint="eastAsia" w:ascii="仿宋_GB2312" w:hAnsi="等线" w:eastAsia="仿宋_GB2312" w:cs="宋体"/>
                <w:kern w:val="0"/>
                <w:sz w:val="21"/>
                <w:szCs w:val="21"/>
              </w:rPr>
              <w:t>2</w:t>
            </w: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受到国家和自治区相关文件通报批评的，扣分。其中，政府门户网站每次1分，组织填报网站每次扣0.5分，累计最高扣2分。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2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kern w:val="0"/>
                <w:szCs w:val="21"/>
              </w:rPr>
            </w:pPr>
          </w:p>
        </w:tc>
        <w:tc>
          <w:tcPr>
            <w:tcW w:w="1134" w:type="dxa"/>
            <w:vMerge w:val="continue"/>
            <w:tcBorders>
              <w:tl2br w:val="nil"/>
              <w:tr2bl w:val="nil"/>
            </w:tcBorders>
            <w:noWrap w:val="0"/>
            <w:vAlign w:val="center"/>
          </w:tcPr>
          <w:p>
            <w:pPr>
              <w:widowControl/>
              <w:jc w:val="left"/>
              <w:rPr>
                <w:rFonts w:ascii="仿宋_GB2312" w:hAnsi="等线" w:eastAsia="仿宋_GB2312" w:cs="宋体"/>
                <w:color w:val="auto"/>
                <w:kern w:val="0"/>
                <w:szCs w:val="21"/>
              </w:rPr>
            </w:pPr>
          </w:p>
        </w:tc>
        <w:tc>
          <w:tcPr>
            <w:tcW w:w="709" w:type="dxa"/>
            <w:vMerge w:val="continue"/>
            <w:tcBorders>
              <w:tl2br w:val="nil"/>
              <w:tr2bl w:val="nil"/>
            </w:tcBorders>
            <w:noWrap w:val="0"/>
            <w:vAlign w:val="center"/>
          </w:tcPr>
          <w:p>
            <w:pPr>
              <w:widowControl/>
              <w:jc w:val="left"/>
              <w:rPr>
                <w:rFonts w:ascii="仿宋_GB2312" w:hAnsi="等线" w:eastAsia="仿宋_GB2312" w:cs="宋体"/>
                <w:color w:val="auto"/>
                <w:kern w:val="0"/>
                <w:szCs w:val="21"/>
              </w:rPr>
            </w:pPr>
          </w:p>
        </w:tc>
        <w:tc>
          <w:tcPr>
            <w:tcW w:w="8789" w:type="dxa"/>
            <w:tcBorders>
              <w:tl2br w:val="nil"/>
              <w:tr2bl w:val="nil"/>
            </w:tcBorders>
            <w:noWrap w:val="0"/>
            <w:vAlign w:val="center"/>
          </w:tcPr>
          <w:p>
            <w:pPr>
              <w:widowControl/>
              <w:spacing w:line="240" w:lineRule="auto"/>
              <w:jc w:val="both"/>
              <w:rPr>
                <w:rFonts w:hint="eastAsia" w:ascii="仿宋_GB2312" w:hAnsi="等线" w:eastAsia="仿宋_GB2312" w:cs="宋体"/>
                <w:kern w:val="0"/>
                <w:sz w:val="21"/>
                <w:szCs w:val="21"/>
              </w:rPr>
            </w:pPr>
            <w:r>
              <w:rPr>
                <w:rFonts w:hint="eastAsia" w:ascii="仿宋_GB2312" w:hAnsi="等线" w:eastAsia="仿宋_GB2312" w:cs="宋体"/>
                <w:kern w:val="0"/>
                <w:sz w:val="21"/>
                <w:szCs w:val="21"/>
              </w:rPr>
              <w:t>本地区</w:t>
            </w:r>
            <w:r>
              <w:rPr>
                <w:rFonts w:hint="eastAsia" w:ascii="仿宋_GB2312" w:hAnsi="等线" w:cs="宋体"/>
                <w:kern w:val="0"/>
                <w:sz w:val="21"/>
                <w:szCs w:val="21"/>
                <w:lang w:eastAsia="zh-CN"/>
              </w:rPr>
              <w:t>政府网站与政务新媒体</w:t>
            </w:r>
            <w:r>
              <w:rPr>
                <w:rFonts w:hint="eastAsia" w:ascii="仿宋_GB2312" w:hAnsi="等线" w:eastAsia="仿宋_GB2312" w:cs="宋体"/>
                <w:kern w:val="0"/>
                <w:sz w:val="21"/>
                <w:szCs w:val="21"/>
              </w:rPr>
              <w:t>发生媒体曝光或其他负面影响事件，造成重大舆情或引发群体性事件的，</w:t>
            </w:r>
            <w:r>
              <w:rPr>
                <w:rFonts w:hint="eastAsia" w:ascii="仿宋_GB2312" w:hAnsi="等线" w:cs="宋体"/>
                <w:kern w:val="0"/>
                <w:sz w:val="21"/>
                <w:szCs w:val="21"/>
              </w:rPr>
              <w:t>经查实属于政府网站建设管理责任的</w:t>
            </w:r>
            <w:r>
              <w:rPr>
                <w:rFonts w:hint="eastAsia" w:ascii="仿宋_GB2312" w:hAnsi="等线" w:eastAsia="仿宋_GB2312" w:cs="宋体"/>
                <w:kern w:val="0"/>
                <w:sz w:val="21"/>
                <w:szCs w:val="21"/>
              </w:rPr>
              <w:t>或受到国家和自治区相关文件通报批评的，扣分。其中，政府门户网站每次1分，组织填报网站每次扣0.5分，累计最高扣2分。</w:t>
            </w:r>
          </w:p>
        </w:tc>
      </w:tr>
    </w:tbl>
    <w:p>
      <w:pPr>
        <w:rPr>
          <w:snapToGrid w:val="0"/>
        </w:rPr>
      </w:pPr>
    </w:p>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r>
        <w:rPr>
          <w:rFonts w:ascii="Times New Roman Regular" w:hAnsi="Times New Roman Regular" w:eastAsia="黑体" w:cs="Times New Roman Regular"/>
          <w:snapToGrid w:val="0"/>
          <w:sz w:val="32"/>
          <w:szCs w:val="32"/>
        </w:rPr>
        <w:br w:type="page"/>
      </w:r>
      <w:r>
        <w:rPr>
          <w:rFonts w:ascii="Times New Roman Regular" w:hAnsi="Times New Roman Regular" w:eastAsia="黑体" w:cs="Times New Roman Regular"/>
          <w:snapToGrid w:val="0"/>
          <w:sz w:val="32"/>
          <w:szCs w:val="32"/>
        </w:rPr>
        <w:t>附录1  自治区部门</w:t>
      </w:r>
      <w:r>
        <w:rPr>
          <w:rFonts w:hint="eastAsia" w:ascii="Times New Roman Regular" w:hAnsi="Times New Roman Regular" w:eastAsia="黑体" w:cs="Times New Roman Regular"/>
          <w:snapToGrid w:val="0"/>
          <w:sz w:val="32"/>
          <w:szCs w:val="32"/>
          <w:lang w:val="en-US" w:eastAsia="zh-CN"/>
        </w:rPr>
        <w:t>网站</w:t>
      </w:r>
      <w:r>
        <w:rPr>
          <w:rFonts w:ascii="Times New Roman Regular" w:hAnsi="Times New Roman Regular" w:eastAsia="黑体" w:cs="Times New Roman Regular"/>
          <w:snapToGrid w:val="0"/>
          <w:sz w:val="32"/>
          <w:szCs w:val="32"/>
        </w:rPr>
        <w:t>主动公开考核范围</w:t>
      </w:r>
    </w:p>
    <w:tbl>
      <w:tblPr>
        <w:tblStyle w:val="5"/>
        <w:tblW w:w="13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4367"/>
        <w:gridCol w:w="1200"/>
        <w:gridCol w:w="750"/>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498" w:type="dxa"/>
            <w:vMerge w:val="restart"/>
            <w:noWrap w:val="0"/>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r>
              <w:rPr>
                <w:rFonts w:hint="eastAsia" w:ascii="Times New Roman Regular" w:hAnsi="Times New Roman Regular" w:eastAsia="方正黑体_GBK" w:cs="Times New Roman Regular"/>
                <w:kern w:val="0"/>
                <w:sz w:val="24"/>
              </w:rPr>
              <w:t>部门</w:t>
            </w:r>
          </w:p>
        </w:tc>
        <w:tc>
          <w:tcPr>
            <w:tcW w:w="4367" w:type="dxa"/>
            <w:vMerge w:val="restart"/>
            <w:noWrap w:val="0"/>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r>
              <w:rPr>
                <w:rFonts w:hint="eastAsia" w:ascii="Times New Roman Regular" w:hAnsi="Times New Roman Regular" w:eastAsia="方正黑体_GBK" w:cs="Times New Roman Regular"/>
                <w:kern w:val="0"/>
                <w:sz w:val="24"/>
              </w:rPr>
              <w:t>主动公开考核范围</w:t>
            </w:r>
          </w:p>
        </w:tc>
        <w:tc>
          <w:tcPr>
            <w:tcW w:w="7695" w:type="dxa"/>
            <w:gridSpan w:val="3"/>
            <w:noWrap w:val="0"/>
            <w:vAlign w:val="bottom"/>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r>
              <w:rPr>
                <w:rFonts w:hint="eastAsia" w:ascii="Times New Roman Regular" w:hAnsi="Times New Roman Regular" w:eastAsia="方正黑体_GBK" w:cs="Times New Roman Regular"/>
                <w:kern w:val="0"/>
                <w:sz w:val="24"/>
              </w:rPr>
              <w:t>重点领域信息公开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498" w:type="dxa"/>
            <w:vMerge w:val="continue"/>
            <w:noWrap w:val="0"/>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p>
        </w:tc>
        <w:tc>
          <w:tcPr>
            <w:tcW w:w="4367" w:type="dxa"/>
            <w:vMerge w:val="continue"/>
            <w:noWrap w:val="0"/>
            <w:vAlign w:val="center"/>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p>
        </w:tc>
        <w:tc>
          <w:tcPr>
            <w:tcW w:w="1200" w:type="dxa"/>
            <w:noWrap w:val="0"/>
            <w:vAlign w:val="bottom"/>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r>
              <w:rPr>
                <w:rFonts w:hint="eastAsia" w:ascii="Times New Roman Regular" w:hAnsi="Times New Roman Regular" w:eastAsia="方正黑体_GBK" w:cs="Times New Roman Regular"/>
                <w:kern w:val="0"/>
                <w:sz w:val="24"/>
              </w:rPr>
              <w:t>指标</w:t>
            </w:r>
          </w:p>
        </w:tc>
        <w:tc>
          <w:tcPr>
            <w:tcW w:w="750" w:type="dxa"/>
            <w:noWrap w:val="0"/>
            <w:vAlign w:val="bottom"/>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r>
              <w:rPr>
                <w:rFonts w:hint="eastAsia" w:ascii="Times New Roman Regular" w:hAnsi="Times New Roman Regular" w:eastAsia="方正黑体_GBK" w:cs="Times New Roman Regular"/>
                <w:kern w:val="0"/>
                <w:sz w:val="24"/>
              </w:rPr>
              <w:t>权重</w:t>
            </w:r>
          </w:p>
        </w:tc>
        <w:tc>
          <w:tcPr>
            <w:tcW w:w="5745" w:type="dxa"/>
            <w:noWrap w:val="0"/>
            <w:vAlign w:val="bottom"/>
          </w:tcPr>
          <w:p>
            <w:pPr>
              <w:adjustRightInd w:val="0"/>
              <w:snapToGrid w:val="0"/>
              <w:spacing w:line="500" w:lineRule="exact"/>
              <w:jc w:val="center"/>
              <w:textAlignment w:val="center"/>
              <w:rPr>
                <w:rFonts w:ascii="Times New Roman Regular" w:hAnsi="Times New Roman Regular" w:eastAsia="方正黑体_GBK" w:cs="Times New Roman Regular"/>
                <w:kern w:val="0"/>
                <w:sz w:val="24"/>
              </w:rPr>
            </w:pPr>
            <w:r>
              <w:rPr>
                <w:rFonts w:hint="eastAsia" w:ascii="Times New Roman Regular" w:hAnsi="Times New Roman Regular" w:eastAsia="方正黑体_GBK" w:cs="Times New Roman Regular"/>
                <w:kern w:val="0"/>
                <w:sz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发展改革委</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机构职能、领导信息、政务动态、政策文件、政策解读、人事信息、规划计划、财政信息、数据发布、重大建设项目批准和实施、公共资源配置、社会公益事业建设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1.项目批准服务信息：申报要求、申报材料清单、批准流程、办理时限、受理机构联系方式、监督举报方式等批准服务信息。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2.项目投资批准结果信息：项目建议书审批结果、可行性研究报告审批结果、初步设计文件审批结果、项目核准结果等批准结果信息、移民安置规划及审核意见批准结果信息。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3.项目报建批准结果信息：固定资产投资项目节能评估和审查结果。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4.重大变更信息：项目设计变更原因、主要变更内容、变更依据、批准单位、变更结果等重大设计变更信息。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1.扶贫产业开发项目建设计划、补助总体信息。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2.易地扶贫搬迁项目总体信息。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3.设置市场规则标准栏目，主动公开市场准入负面清单并根据调整情况动态更新。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教育厅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1.自治区出台的教育领域的政策及解读。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2.教育领域发展总体规划。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3.教育资金分配总体情况。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4.县域义务教育均衡发展等工作整体进展情况。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5.高等教育的招生、困难学生资助实施情况等信息。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6.自治区出台的有关教育救助的政策及解读信息、教育救助资金分配总体情况。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科技厅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自治区工业和信息化厅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2.项目投资批准结果信息：企业、事业单位、社会团体等投资建设的固定资产投资项目核准（技术改造类）结果、技术改造类固定资产投资项目节能评估和审查结果等批准结果。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民宗委</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扶贫项目资金分配、使用总体情况。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公安厅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民政厅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1.自治区出台的有关城乡低保救助的政策及解读、城乡低保资金分配总体情况。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2.自治区出台的有关特困人员救助供养的政策及解读、特困人员救助供养资金分配总体情况。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 xml:space="preserve">3.自治区出台的有关临时救助的政策及解读、临时救助资金分配总体情况。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hint="eastAsia" w:ascii="Times New Roman Regular" w:hAnsi="Times New Roman Regular" w:eastAsia="仿宋_GB2312" w:cs="Times New Roman Regular"/>
                <w:kern w:val="0"/>
                <w:sz w:val="24"/>
              </w:rPr>
              <w:t>4.自治区出台的有关养老服务和老年人福利的政策及解读。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5.自治区出台的有关残疾人福利的政策及解读。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6.自治区出台的有关儿童福利、孤儿基本生活保障的政策及解读和孤儿基本生活保障资金分配总体情况。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7.彩票公益金使用规模、资助项目、执行情况和实际效果等总体信息。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司法厅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财政厅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机构职能、领导信息、政务动态、政策文件、政策解读、人事信息、规划计划、财政信息、数据发布、公共资源配置、社会公益事业建设</w:t>
            </w: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政府采购领域的投诉和监督检查等处理决定、对集中采购机构的考核结果、违法失信行为记录等监督处罚信息。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彩票公益金筹集、分配、使用情况。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自治区人力资源社会保障厅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自治区</w:t>
            </w: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自然资源厅</w:t>
            </w: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both"/>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pStyle w:val="2"/>
            </w:pPr>
            <w:r>
              <w:rPr>
                <w:rFonts w:ascii="Times New Roman Regular" w:hAnsi="Times New Roman Regular" w:eastAsia="仿宋_GB2312" w:cs="Times New Roman Regular"/>
                <w:kern w:val="0"/>
                <w:sz w:val="24"/>
              </w:rPr>
              <w:t>自然资源厅</w:t>
            </w:r>
          </w:p>
        </w:tc>
        <w:tc>
          <w:tcPr>
            <w:tcW w:w="4367" w:type="dxa"/>
            <w:vMerge w:val="restart"/>
            <w:noWrap w:val="0"/>
            <w:vAlign w:val="center"/>
          </w:tcPr>
          <w:p>
            <w:pPr>
              <w:widowControl/>
              <w:spacing w:line="320" w:lineRule="exact"/>
              <w:jc w:val="left"/>
            </w:pPr>
            <w:r>
              <w:rPr>
                <w:rFonts w:ascii="Times New Roman Regular" w:hAnsi="Times New Roman Regular" w:cs="Times New Roman Regular"/>
                <w:kern w:val="0"/>
                <w:sz w:val="24"/>
              </w:rPr>
              <w:t>机构职能、领导信息、政务动态、政策文件、政策解读、人事信息、规划计划、财政信息、数据发布、重大建设项目批准和实施、公共资源配置</w:t>
            </w:r>
          </w:p>
          <w:p>
            <w:pPr>
              <w:pStyle w:val="2"/>
              <w:rPr>
                <w:rFonts w:ascii="Times New Roman Regular" w:hAnsi="Times New Roman Regular" w:eastAsia="仿宋_GB2312" w:cs="Times New Roman Regular"/>
                <w:kern w:val="0"/>
                <w:sz w:val="24"/>
                <w:szCs w:val="22"/>
              </w:rPr>
            </w:pPr>
          </w:p>
          <w:p>
            <w:pPr>
              <w:pStyle w:val="2"/>
            </w:pPr>
            <w:r>
              <w:rPr>
                <w:rFonts w:ascii="Times New Roman Regular" w:hAnsi="Times New Roman Regular" w:eastAsia="仿宋_GB2312" w:cs="Times New Roman Regular"/>
                <w:kern w:val="0"/>
                <w:sz w:val="24"/>
                <w:szCs w:val="22"/>
              </w:rPr>
              <w:t>机构职能、领导信息、政务动态、政策文件、政策解读、人事信息、规划计划、财政信息、数据发布、重大建设项目批准和实施、公共资源配置</w:t>
            </w:r>
          </w:p>
        </w:tc>
        <w:tc>
          <w:tcPr>
            <w:tcW w:w="1200" w:type="dxa"/>
            <w:vMerge w:val="restart"/>
            <w:noWrap w:val="0"/>
            <w:vAlign w:val="center"/>
          </w:tcPr>
          <w:p>
            <w:pPr>
              <w:pStyle w:val="2"/>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p>
            <w:pPr>
              <w:pStyle w:val="2"/>
              <w:rPr>
                <w:rFonts w:ascii="Times New Roman Regular" w:hAnsi="Times New Roman Regular" w:eastAsia="仿宋_GB2312" w:cs="Times New Roman Regular"/>
                <w:kern w:val="0"/>
                <w:sz w:val="24"/>
              </w:rPr>
            </w:pPr>
          </w:p>
          <w:p>
            <w:pPr>
              <w:pStyle w:val="2"/>
              <w:jc w:val="cente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6</w:t>
            </w:r>
          </w:p>
          <w:p>
            <w:pPr>
              <w:pStyle w:val="2"/>
            </w:pPr>
          </w:p>
          <w:p>
            <w:pPr>
              <w:pStyle w:val="3"/>
            </w:pPr>
          </w:p>
          <w:p>
            <w:pPr>
              <w:pStyle w:val="2"/>
              <w:jc w:val="cente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2.项目投资批准结果信息：建设项目用地预审与选址意见结果信息。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3.项目报建批准结果信息：建设用地审批、建设项目压覆重要矿床审批等批准结果信息。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矿业权出让领域。主要公开全区探矿权和采矿权的出让公告、成交公示、审批结果信息等矿业权出让信息。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pStyle w:val="2"/>
              <w:jc w:val="both"/>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pStyle w:val="2"/>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生态环境厅</w:t>
            </w: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pStyle w:val="3"/>
              <w:jc w:val="both"/>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pStyle w:val="2"/>
            </w:pPr>
            <w:r>
              <w:rPr>
                <w:rFonts w:ascii="Times New Roman Regular" w:hAnsi="Times New Roman Regular" w:eastAsia="仿宋_GB2312" w:cs="Times New Roman Regular"/>
                <w:kern w:val="0"/>
                <w:sz w:val="24"/>
              </w:rPr>
              <w:t>生态环境厅</w:t>
            </w:r>
          </w:p>
        </w:tc>
        <w:tc>
          <w:tcPr>
            <w:tcW w:w="4367" w:type="dxa"/>
            <w:vMerge w:val="restart"/>
            <w:noWrap w:val="0"/>
            <w:vAlign w:val="center"/>
          </w:tcPr>
          <w:p>
            <w:pPr>
              <w:pStyle w:val="2"/>
              <w:rPr>
                <w:rFonts w:ascii="Times New Roman Regular" w:hAnsi="Times New Roman Regular" w:eastAsia="仿宋_GB2312" w:cs="Times New Roman Regular"/>
                <w:kern w:val="0"/>
                <w:sz w:val="24"/>
                <w:szCs w:val="22"/>
              </w:rPr>
            </w:pPr>
          </w:p>
          <w:p>
            <w:pPr>
              <w:pStyle w:val="2"/>
              <w:rPr>
                <w:rFonts w:ascii="Times New Roman Regular" w:hAnsi="Times New Roman Regular" w:eastAsia="仿宋_GB2312" w:cs="Times New Roman Regular"/>
                <w:kern w:val="0"/>
                <w:sz w:val="24"/>
                <w:szCs w:val="22"/>
              </w:rPr>
            </w:pPr>
          </w:p>
          <w:p>
            <w:pPr>
              <w:pStyle w:val="2"/>
              <w:rPr>
                <w:rFonts w:ascii="Times New Roman Regular" w:hAnsi="Times New Roman Regular" w:eastAsia="仿宋_GB2312" w:cs="Times New Roman Regular"/>
                <w:kern w:val="0"/>
                <w:sz w:val="24"/>
                <w:szCs w:val="22"/>
              </w:rPr>
            </w:pPr>
          </w:p>
          <w:p>
            <w:pPr>
              <w:pStyle w:val="2"/>
              <w:rPr>
                <w:rFonts w:ascii="Times New Roman Regular" w:hAnsi="Times New Roman Regular" w:eastAsia="仿宋_GB2312" w:cs="Times New Roman Regular"/>
                <w:kern w:val="0"/>
                <w:sz w:val="24"/>
                <w:szCs w:val="22"/>
              </w:rPr>
            </w:pPr>
            <w:r>
              <w:rPr>
                <w:rFonts w:ascii="Times New Roman Regular" w:hAnsi="Times New Roman Regular" w:eastAsia="仿宋_GB2312" w:cs="Times New Roman Regular"/>
                <w:kern w:val="0"/>
                <w:sz w:val="24"/>
                <w:szCs w:val="22"/>
              </w:rPr>
              <w:t>机构职能、领导信息、政务动态、政策文件、政策解读、人事信息、规划计划、财政信息、数据发布、重大建设项目批准和实施、社会公益事业建设</w:t>
            </w:r>
          </w:p>
          <w:p>
            <w:pPr>
              <w:pStyle w:val="3"/>
              <w:rPr>
                <w:rFonts w:ascii="Times New Roman Regular" w:hAnsi="Times New Roman Regular" w:eastAsia="仿宋_GB2312" w:cs="Times New Roman Regular"/>
                <w:kern w:val="0"/>
                <w:sz w:val="24"/>
                <w:szCs w:val="22"/>
              </w:rPr>
            </w:pPr>
          </w:p>
          <w:p>
            <w:pPr>
              <w:rPr>
                <w:rFonts w:ascii="Times New Roman Regular" w:hAnsi="Times New Roman Regular" w:eastAsia="仿宋_GB2312" w:cs="Times New Roman Regular"/>
                <w:kern w:val="0"/>
                <w:sz w:val="24"/>
                <w:szCs w:val="22"/>
              </w:rPr>
            </w:pPr>
          </w:p>
          <w:p>
            <w:pPr>
              <w:pStyle w:val="2"/>
              <w:rPr>
                <w:rFonts w:ascii="Times New Roman Regular" w:hAnsi="Times New Roman Regular" w:eastAsia="仿宋_GB2312" w:cs="Times New Roman Regular"/>
                <w:kern w:val="0"/>
                <w:sz w:val="24"/>
                <w:szCs w:val="22"/>
              </w:rPr>
            </w:pPr>
          </w:p>
          <w:p>
            <w:pPr>
              <w:pStyle w:val="3"/>
              <w:rPr>
                <w:rFonts w:ascii="Times New Roman Regular" w:hAnsi="Times New Roman Regular" w:eastAsia="仿宋_GB2312" w:cs="Times New Roman Regular"/>
                <w:kern w:val="0"/>
                <w:sz w:val="24"/>
                <w:szCs w:val="22"/>
              </w:rPr>
            </w:pPr>
          </w:p>
          <w:p>
            <w:pPr>
              <w:rPr>
                <w:rFonts w:ascii="Times New Roman Regular" w:hAnsi="Times New Roman Regular" w:eastAsia="仿宋_GB2312" w:cs="Times New Roman Regular"/>
                <w:kern w:val="0"/>
                <w:sz w:val="24"/>
                <w:szCs w:val="22"/>
              </w:rPr>
            </w:pPr>
          </w:p>
          <w:p>
            <w:pPr>
              <w:pStyle w:val="2"/>
            </w:pPr>
          </w:p>
          <w:p>
            <w:pPr>
              <w:pStyle w:val="2"/>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2.项目报建批准结果信息：环境影响评价审批文件等批准结果信息。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restart"/>
            <w:noWrap w:val="0"/>
            <w:vAlign w:val="center"/>
          </w:tcPr>
          <w:p>
            <w:pPr>
              <w:widowControl/>
              <w:spacing w:line="240" w:lineRule="auto"/>
              <w:jc w:val="center"/>
              <w:rPr>
                <w:rFonts w:ascii="Times New Roman Regular" w:hAnsi="Times New Roman Regular" w:cs="Times New Roman Regular"/>
                <w:kern w:val="0"/>
                <w:sz w:val="24"/>
              </w:rPr>
            </w:pPr>
          </w:p>
          <w:p>
            <w:pPr>
              <w:widowControl/>
              <w:spacing w:line="240" w:lineRule="auto"/>
              <w:jc w:val="center"/>
              <w:rPr>
                <w:rFonts w:ascii="Times New Roman Regular" w:hAnsi="Times New Roman Regular" w:cs="Times New Roman Regular"/>
                <w:kern w:val="0"/>
                <w:sz w:val="24"/>
              </w:rPr>
            </w:pPr>
          </w:p>
          <w:p>
            <w:pPr>
              <w:widowControl/>
              <w:spacing w:line="240" w:lineRule="auto"/>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社会公益事业建设</w:t>
            </w: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3"/>
              <w:spacing w:line="240" w:lineRule="auto"/>
              <w:jc w:val="center"/>
              <w:rPr>
                <w:rFonts w:ascii="Times New Roman Regular" w:hAnsi="Times New Roman Regular" w:eastAsia="仿宋_GB2312" w:cs="Times New Roman Regular"/>
                <w:kern w:val="0"/>
                <w:sz w:val="24"/>
              </w:rPr>
            </w:pPr>
          </w:p>
          <w:p>
            <w:pPr>
              <w:spacing w:line="240" w:lineRule="auto"/>
              <w:jc w:val="center"/>
              <w:rPr>
                <w:rFonts w:ascii="Times New Roman Regular" w:hAnsi="Times New Roman Regular" w:eastAsia="仿宋_GB2312" w:cs="Times New Roman Regular"/>
                <w:kern w:val="0"/>
                <w:sz w:val="24"/>
              </w:rPr>
            </w:pPr>
          </w:p>
          <w:p>
            <w:pPr>
              <w:spacing w:line="240" w:lineRule="auto"/>
              <w:jc w:val="center"/>
              <w:rPr>
                <w:rFonts w:ascii="Times New Roman Regular" w:hAnsi="Times New Roman Regular" w:eastAsia="仿宋_GB2312" w:cs="Times New Roman Regular"/>
                <w:kern w:val="0"/>
                <w:sz w:val="24"/>
              </w:rPr>
            </w:pPr>
          </w:p>
          <w:p>
            <w:pPr>
              <w:pStyle w:val="2"/>
              <w:jc w:val="center"/>
            </w:pPr>
          </w:p>
          <w:p>
            <w:pPr>
              <w:pStyle w:val="2"/>
              <w:jc w:val="cente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240" w:lineRule="auto"/>
              <w:jc w:val="center"/>
              <w:rPr>
                <w:rFonts w:ascii="Times New Roman Regular" w:hAnsi="Times New Roman Regular" w:cs="Times New Roman Regular"/>
                <w:kern w:val="0"/>
                <w:sz w:val="24"/>
              </w:rPr>
            </w:pPr>
          </w:p>
          <w:p>
            <w:pPr>
              <w:widowControl/>
              <w:spacing w:line="240" w:lineRule="auto"/>
              <w:jc w:val="center"/>
              <w:rPr>
                <w:rFonts w:ascii="Times New Roman Regular" w:hAnsi="Times New Roman Regular" w:cs="Times New Roman Regular"/>
                <w:kern w:val="0"/>
                <w:sz w:val="24"/>
              </w:rPr>
            </w:pPr>
          </w:p>
          <w:p>
            <w:pPr>
              <w:widowControl/>
              <w:spacing w:line="240" w:lineRule="auto"/>
              <w:jc w:val="center"/>
              <w:rPr>
                <w:rFonts w:ascii="Times New Roman Regular" w:hAnsi="Times New Roman Regular" w:cs="Times New Roman Regular"/>
                <w:kern w:val="0"/>
                <w:sz w:val="24"/>
              </w:rPr>
            </w:pPr>
          </w:p>
          <w:p>
            <w:pPr>
              <w:widowControl/>
              <w:spacing w:line="240" w:lineRule="auto"/>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6</w:t>
            </w: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1.自治区大气污染防治政策措施、规划，大气环境质量标准、大气污染物排放标准及解读。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2.大气污染防治实施效果，污染源监测及减排，建设项目环境影响评价审批。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3.大气环境质量改善目标、大气污染防治重点任务执行情况、考核结果。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4.重大大气污染事件调查处理结果、约谈情况。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5.大气环境质量状况、大气环境质量预报信息、大范围重污染天气预警提示，重污染天气期间信息。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6.重点排污单位名录及排放大气污染物的种类、浓度等信息。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7.环境保护执法监管、举报电话、投诉处理、舆情引导等信息。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8.自治区水污染防治政策措施、规划，水环境质量标准、水污染物排放标准及解读。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9.水污染防治实施效果，污染源监测及减排，建设项目环境影响评价审批。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10.重大水污染事件调查处理结果、约谈情况。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11.水环境质量状况、大范围重污染水预警提示信息。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12.有毒有害水污染物名录及排放有毒有害水污染物等信息。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13.重点排污单位名录及排放水污染物的种类、浓度等信息。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14.环境突发事件应急预案。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15.自治区土壤污染管控和修复政策措施、规划及解读。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16.土壤污染管控和修复实施效果，污染源监测及减排，建设项目环境影响评价审批。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17.重大土壤污染事件调查处理结果、约谈情况。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18.土壤环境状况。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19.重点行业企业产生的污染物名称、排放浓度等情况。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自治区住房城乡建设厅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机构职能、领导信息、政务动态、政策文件、政策解读、人事信息、规划计划、财政信息、数据发布、重大建设项目批准和实施、公共资源配置</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施工及质量安全监督信息：项目法人单位及其主要负责人信息，设计、施工、监理单位及其主要负责人、项目负责人信息、资质情况，施工单位项目管理机构设置、工作职责、主要管理制度，施工期环境保护措施落实情况等；质量安全监督机构及其联系方式、质量安全行政处罚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工程建设项目招标投标领域：市场主体基本信息、资质情况、执业人员信息、业绩情况、良好行为和不良行为、信用评价结果、行政处罚信息等。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自治区</w:t>
            </w: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交通运输厅</w:t>
            </w:r>
          </w:p>
          <w:p>
            <w:pPr>
              <w:pStyle w:val="2"/>
              <w:rPr>
                <w:rFonts w:ascii="Times New Roman Regular" w:hAnsi="Times New Roman Regular" w:cs="Times New Roman Regular"/>
                <w:kern w:val="0"/>
                <w:sz w:val="24"/>
              </w:rPr>
            </w:pPr>
          </w:p>
          <w:p>
            <w:pPr>
              <w:pStyle w:val="3"/>
            </w:pPr>
          </w:p>
          <w:p/>
          <w:p>
            <w:pPr>
              <w:pStyle w:val="3"/>
              <w:jc w:val="both"/>
            </w:pPr>
          </w:p>
          <w:p>
            <w:pPr>
              <w:pStyle w:val="3"/>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pStyle w:val="2"/>
            </w:pPr>
            <w:r>
              <w:rPr>
                <w:rFonts w:ascii="Times New Roman Regular" w:hAnsi="Times New Roman Regular" w:eastAsia="仿宋_GB2312" w:cs="Times New Roman Regular"/>
                <w:kern w:val="0"/>
                <w:sz w:val="24"/>
              </w:rPr>
              <w:t>交通运输厅</w:t>
            </w:r>
          </w:p>
        </w:tc>
        <w:tc>
          <w:tcPr>
            <w:tcW w:w="4367" w:type="dxa"/>
            <w:vMerge w:val="restart"/>
            <w:noWrap w:val="0"/>
            <w:vAlign w:val="center"/>
          </w:tcPr>
          <w:p>
            <w:pPr>
              <w:widowControl/>
              <w:spacing w:line="320" w:lineRule="exact"/>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机构职能、领导信息、政务动态、政策文件、政策解读、人事信息、规划计划、财政信息、数据发布、重大建设项目批准和实施、公共资源配置、社会公益事业建设</w:t>
            </w: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机构职能、领导信息、政务动态、政策文件、政策解读、人事信息、规划计划、财政信息、数据发布、重大建设项目批准和实施、公共资源配置、社会公益事业建设</w:t>
            </w:r>
          </w:p>
        </w:tc>
        <w:tc>
          <w:tcPr>
            <w:tcW w:w="1200"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重大建设项目批准和实施</w:t>
            </w: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jc w:val="cente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pStyle w:val="2"/>
              <w:jc w:val="center"/>
              <w:rPr>
                <w:rFonts w:ascii="Times New Roman Regular" w:hAnsi="Times New Roman Regular" w:cs="Times New Roman Regular"/>
                <w:kern w:val="0"/>
                <w:sz w:val="24"/>
              </w:rPr>
            </w:pPr>
            <w:r>
              <w:rPr>
                <w:rFonts w:hint="eastAsia" w:ascii="Times New Roman Regular" w:hAnsi="Times New Roman Regular" w:cs="Times New Roman Regular"/>
                <w:kern w:val="0"/>
                <w:sz w:val="24"/>
                <w:lang w:val="en-US" w:eastAsia="zh-CN"/>
              </w:rPr>
              <w:t>4</w:t>
            </w:r>
          </w:p>
          <w:p>
            <w:pPr>
              <w:pStyle w:val="3"/>
              <w:rPr>
                <w:rFonts w:ascii="Times New Roman Regular" w:hAnsi="Times New Roman Regular" w:cs="Times New Roman Regular"/>
                <w:kern w:val="0"/>
                <w:sz w:val="24"/>
              </w:rPr>
            </w:pPr>
          </w:p>
          <w:p>
            <w:pPr>
              <w:jc w:val="center"/>
            </w:pPr>
          </w:p>
          <w:p>
            <w:pPr>
              <w:pStyle w:val="2"/>
              <w:jc w:val="center"/>
              <w:rPr>
                <w:rFonts w:ascii="Times New Roman Regular" w:hAnsi="Times New Roman Regular" w:eastAsia="仿宋_GB2312" w:cs="Times New Roman Regular"/>
                <w:kern w:val="0"/>
                <w:sz w:val="24"/>
              </w:rPr>
            </w:pPr>
          </w:p>
          <w:p>
            <w:pPr>
              <w:pStyle w:val="2"/>
              <w:jc w:val="center"/>
              <w:rPr>
                <w:rFonts w:ascii="Times New Roman Regular" w:hAnsi="Times New Roman Regular" w:eastAsia="仿宋_GB2312" w:cs="Times New Roman Regular"/>
                <w:kern w:val="0"/>
                <w:sz w:val="24"/>
              </w:rPr>
            </w:pPr>
          </w:p>
          <w:p>
            <w:pPr>
              <w:pStyle w:val="2"/>
              <w:jc w:val="center"/>
              <w:rPr>
                <w:rFonts w:hint="eastAsia" w:eastAsia="宋体"/>
                <w:lang w:val="en-US" w:eastAsia="zh-CN"/>
              </w:rPr>
            </w:pPr>
            <w:r>
              <w:rPr>
                <w:rFonts w:hint="eastAsia"/>
                <w:lang w:val="en-US" w:eastAsia="zh-CN"/>
              </w:rPr>
              <w:t>4</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2.项目报建批准结果信息：水运工程设计文件审查、公路建设项目设计审批、公路建设项目施工许可、航道通航条件影响评价审核、港口岸线使用审批等批准结果信息。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3.重大设计变更信息：项目设计变更原因、主要变更内容、变更依据、批准单位、变更结果等。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 xml:space="preserve">4.施工及质量安全监督信息：项目法人单位及其主要负责人信息，设计、施工、监理单位及其主要负责人、项目负责人信息、资质情况，施工单位项目管理机构设置、工作职责、主要管理制度，施工期环境保护措施落实情况等；质量安全监督机构及其联系方式、质量安全行政处罚情况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5.竣工有关信息：竣工验收时间、工程质量验收结果、交付使用时间。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工程建设项目招标投标领域：市场主体基本信息、资质情况、执业人员信息、业绩情况、良好行为和不良行为、信用评价结果、行政处罚信息等。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在疫情防控常态化情况下，要依法依规围绕散发疫情、隔离管控、精准防控、冷链运输、流调溯源、疫苗使用、假期人员流动等方面发布权威信息。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水利厅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机构职能、领导信息、政务动态、政策文件、政策解读、人事信息、规划计划、财政信息、数据发布、重大建设项目批准和实施、公共资源配置</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2.项目报建批准结果信息：取水许可、洪水影响评价、生产建设项目水土保持方案审批、水利基建项目初步设计文件审批等批准结果；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3.重大设计变更信息：项目设计变更原因、主要变更内容、变更依据、批准单位、变更结果等。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 xml:space="preserve">4.施工及质量安全监督信息：项目法人单位及其主要负责人信息，设计、施工、监理单位及其主要负责人、项目负责人信息、资质情况，施工期水土保持措施落实情况等；质量安全监督机构及其联系方式、质量安全行政处罚情况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5.竣工有关信息：竣工验收时间、工程质量验收结果，竣工验收备案时间、备案编号、备案部门、交付使用时间。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工程建设项目招标投标领域：市场主体基本信息、资质情况、执业人员信息、业绩情况、良好行为和不良行为、信用评价结果、行政处罚信息等。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农业农村厅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1.扶贫基础设施项目建设计划总体信息。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2.扶贫产业开发项目建设计划、补助总体信息。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3.易地扶贫搬迁项目总体信息。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4.扶贫项目资金分配、使用总体情况。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5.外资扶贫项目采购和招投标总体信息。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商务厅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自治区文化和旅游厅</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2.项目报建批准结果信息：建设工程文物保护和考古许可批准结果信息。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1.自治区出台的公共文化的服务保障政策及解读、基本公共文化服务指导、实施标准。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2.公共文化服务体系建设、财政资金投入和使用、设施建设和使用。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3.政府购买公共文化服务的目录、绩效评价结果等总体情况。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4.免费及优惠开放公共文化服务项目和活动计划总体情况。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5.全国重点文物保护单位、自治区文物保护单位等名录。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r>
              <w:rPr>
                <w:rFonts w:ascii="Times New Roman Regular" w:hAnsi="Times New Roman Regular" w:eastAsia="仿宋_GB2312" w:cs="Times New Roman Regular"/>
                <w:spacing w:val="0"/>
                <w:kern w:val="0"/>
                <w:sz w:val="24"/>
              </w:rPr>
              <w:t>公益性文化服务活动、受捐款物管理使用等总体信息。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卫生健康委</w:t>
            </w:r>
          </w:p>
        </w:tc>
        <w:tc>
          <w:tcPr>
            <w:tcW w:w="4367" w:type="dxa"/>
            <w:vMerge w:val="restart"/>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机构职能、领导信息、政务动态、政策文件、政策解读、人事信息、规划计划、财政信息、数据发布、公共资源配置、社会公益事业建设</w:t>
            </w: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药品和医疗器械采购领域：检验试剂、非免疫规划疫苗采购的有关政策和方案。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1.自治区出台的有关重大疾病预防控制、国家免疫规划政策及解读。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2.自治区出台疾病救助、健康扶贫政策并做好政策解读。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3.突发公共卫生事件事态发展和应急处置工作、法定传染疫情信息。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4.公共卫生事件应急救护培训规划。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5.自治区出台的有关公共卫生事件应急预案、政策及解读，预警防范，目标任务、涉及范围。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6.公共卫生事件应急处置与救援、医疗救护与卫生防疫、次生灾害预警防范等工作情况及动态信息。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7.公共卫生事件的舆情回应情况。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8.公开自治区重大健康行动方案。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自治区</w:t>
            </w: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应急厅</w:t>
            </w:r>
          </w:p>
          <w:p>
            <w:pPr>
              <w:pStyle w:val="2"/>
              <w:rPr>
                <w:rFonts w:ascii="Times New Roman Regular" w:hAnsi="Times New Roman Regular" w:cs="Times New Roman Regular"/>
                <w:kern w:val="0"/>
                <w:sz w:val="24"/>
              </w:rPr>
            </w:pPr>
          </w:p>
          <w:p>
            <w:pPr>
              <w:pStyle w:val="3"/>
              <w:rPr>
                <w:rFonts w:ascii="Times New Roman Regular" w:hAnsi="Times New Roman Regular" w:cs="Times New Roman Regular"/>
                <w:kern w:val="0"/>
                <w:sz w:val="24"/>
              </w:rPr>
            </w:pPr>
          </w:p>
          <w:p>
            <w:pPr>
              <w:rPr>
                <w:rFonts w:ascii="Times New Roman Regular" w:hAnsi="Times New Roman Regular" w:cs="Times New Roman Regular"/>
                <w:kern w:val="0"/>
                <w:sz w:val="24"/>
              </w:rPr>
            </w:pPr>
          </w:p>
          <w:p>
            <w:pPr>
              <w:pStyle w:val="2"/>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pPr>
            <w:r>
              <w:rPr>
                <w:rFonts w:ascii="Times New Roman Regular" w:hAnsi="Times New Roman Regular" w:eastAsia="仿宋_GB2312" w:cs="Times New Roman Regular"/>
                <w:kern w:val="0"/>
                <w:sz w:val="24"/>
              </w:rPr>
              <w:t>应急厅</w:t>
            </w:r>
          </w:p>
        </w:tc>
        <w:tc>
          <w:tcPr>
            <w:tcW w:w="4367" w:type="dxa"/>
            <w:vMerge w:val="restart"/>
            <w:noWrap w:val="0"/>
            <w:vAlign w:val="center"/>
          </w:tcPr>
          <w:p>
            <w:pPr>
              <w:widowControl/>
              <w:spacing w:line="320" w:lineRule="exact"/>
              <w:jc w:val="both"/>
              <w:rPr>
                <w:rFonts w:ascii="Times New Roman Regular" w:hAnsi="Times New Roman Regular" w:cs="Times New Roman Regular"/>
                <w:kern w:val="0"/>
                <w:sz w:val="24"/>
              </w:rPr>
            </w:pPr>
          </w:p>
          <w:p>
            <w:pPr>
              <w:widowControl/>
              <w:spacing w:line="320" w:lineRule="exact"/>
              <w:jc w:val="both"/>
              <w:rPr>
                <w:rFonts w:ascii="Times New Roman Regular" w:hAnsi="Times New Roman Regular" w:cs="Times New Roman Regular"/>
                <w:kern w:val="0"/>
                <w:sz w:val="24"/>
              </w:rPr>
            </w:pPr>
            <w:r>
              <w:rPr>
                <w:rFonts w:ascii="Times New Roman Regular" w:hAnsi="Times New Roman Regular" w:cs="Times New Roman Regular"/>
                <w:kern w:val="0"/>
                <w:sz w:val="24"/>
              </w:rPr>
              <w:t>机构职能、领导信息、政务动态、政策文件、政策解读、人事信息、规划计划、财政信息、数据发布、重大建设项目批准和实施、社会公益事业建设</w:t>
            </w:r>
          </w:p>
          <w:p>
            <w:pPr>
              <w:widowControl/>
              <w:spacing w:line="320" w:lineRule="exact"/>
              <w:rPr>
                <w:rFonts w:ascii="Times New Roman Regular" w:hAnsi="Times New Roman Regular" w:cs="Times New Roman Regular"/>
                <w:kern w:val="0"/>
                <w:sz w:val="24"/>
              </w:rPr>
            </w:pPr>
          </w:p>
          <w:p>
            <w:pPr>
              <w:pStyle w:val="2"/>
              <w:rPr>
                <w:rFonts w:ascii="Times New Roman Regular" w:hAnsi="Times New Roman Regular" w:cs="Times New Roman Regular"/>
                <w:kern w:val="0"/>
                <w:sz w:val="24"/>
              </w:rPr>
            </w:pPr>
          </w:p>
          <w:p>
            <w:pPr>
              <w:pStyle w:val="3"/>
            </w:pPr>
          </w:p>
          <w:p>
            <w:pPr>
              <w:widowControl/>
              <w:spacing w:line="320" w:lineRule="exact"/>
              <w:jc w:val="both"/>
              <w:rPr>
                <w:rFonts w:ascii="Times New Roman Regular" w:hAnsi="Times New Roman Regular" w:eastAsia="仿宋_GB2312" w:cs="Times New Roman Regular"/>
                <w:kern w:val="0"/>
                <w:sz w:val="24"/>
              </w:rPr>
            </w:pPr>
          </w:p>
          <w:p>
            <w:pPr>
              <w:widowControl/>
              <w:spacing w:line="320" w:lineRule="exact"/>
              <w:jc w:val="both"/>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机构职能、领导信息、政务动态、政策文件、政策解读、人事信息、规划计划、财政信息、数据发布、重大建设项目批准和实施、社会公益事业建设</w:t>
            </w:r>
          </w:p>
        </w:tc>
        <w:tc>
          <w:tcPr>
            <w:tcW w:w="1200" w:type="dxa"/>
            <w:vMerge w:val="restart"/>
            <w:noWrap w:val="0"/>
            <w:vAlign w:val="center"/>
          </w:tcPr>
          <w:p>
            <w:pPr>
              <w:widowControl/>
              <w:spacing w:line="320" w:lineRule="exact"/>
              <w:jc w:val="both"/>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重大建设项目批准和实施</w:t>
            </w:r>
          </w:p>
          <w:p>
            <w:pPr>
              <w:pStyle w:val="2"/>
              <w:rPr>
                <w:rFonts w:ascii="Times New Roman Regular" w:hAnsi="Times New Roman Regular" w:eastAsia="仿宋_GB2312" w:cs="Times New Roman Regular"/>
                <w:kern w:val="0"/>
                <w:sz w:val="24"/>
              </w:rPr>
            </w:pPr>
          </w:p>
          <w:p>
            <w:pPr>
              <w:pStyle w:val="2"/>
              <w:rPr>
                <w:rFonts w:ascii="Times New Roman Regular" w:hAnsi="Times New Roman Regular" w:eastAsia="仿宋_GB2312" w:cs="Times New Roman Regular"/>
                <w:kern w:val="0"/>
                <w:sz w:val="24"/>
              </w:rPr>
            </w:pPr>
          </w:p>
          <w:p>
            <w:pPr>
              <w:pStyle w:val="2"/>
              <w:jc w:val="cente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6</w:t>
            </w: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rPr>
                <w:rFonts w:ascii="Times New Roman Regular" w:hAnsi="Times New Roman Regular" w:cs="Times New Roman Regular"/>
                <w:kern w:val="0"/>
                <w:sz w:val="24"/>
              </w:rPr>
            </w:pPr>
          </w:p>
          <w:p>
            <w:pPr>
              <w:widowControl/>
              <w:spacing w:line="320" w:lineRule="exact"/>
              <w:jc w:val="cente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 xml:space="preserve">2.项目报建批准结果信息：建设项目安全设计审查、职业病危害预评价、建设项目安全预评价等批准结果信息。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施工及质量安全监督信息：项目法人单位及其主要负责人信息，设计、施工、监理单位及其主要负责人、项目负责人信息、资质情况，施工单位项目管理机构设置、工作职责、主要管理制度，施工期环境保护措施落实情况等；质量安全监督机构及其联系方式、质量安全行政处罚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color w:val="auto"/>
                <w:kern w:val="0"/>
                <w:sz w:val="24"/>
              </w:rPr>
            </w:pPr>
            <w:r>
              <w:rPr>
                <w:rFonts w:ascii="Times New Roman Regular" w:hAnsi="Times New Roman Regular" w:eastAsia="仿宋_GB2312" w:cs="Times New Roman Regular"/>
                <w:color w:val="auto"/>
                <w:kern w:val="0"/>
                <w:sz w:val="24"/>
              </w:rPr>
              <w:t>1.自治区出台的有关自然灾害应急预案、政策及解读，预警防范，目标任务、涉及范围。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color w:val="auto"/>
                <w:kern w:val="0"/>
                <w:sz w:val="24"/>
              </w:rPr>
            </w:pPr>
            <w:r>
              <w:rPr>
                <w:rFonts w:ascii="Times New Roman Regular" w:hAnsi="Times New Roman Regular" w:eastAsia="仿宋_GB2312" w:cs="Times New Roman Regular"/>
                <w:color w:val="auto"/>
                <w:kern w:val="0"/>
                <w:sz w:val="24"/>
              </w:rPr>
              <w:t>2.</w:t>
            </w:r>
            <w:r>
              <w:rPr>
                <w:rFonts w:hint="default" w:ascii="Times New Roman Regular" w:hAnsi="Times New Roman Regular" w:eastAsia="仿宋_GB2312" w:cs="Times New Roman Regular"/>
                <w:color w:val="auto"/>
                <w:kern w:val="0"/>
                <w:sz w:val="24"/>
              </w:rPr>
              <w:t>自然灾害应急处置与应急处置与救援、次生灾害预警防范等工作情况及动态信息</w:t>
            </w:r>
            <w:r>
              <w:rPr>
                <w:rFonts w:ascii="Times New Roman Regular" w:hAnsi="Times New Roman Regular" w:eastAsia="仿宋_GB2312" w:cs="Times New Roman Regular"/>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color w:val="auto"/>
                <w:kern w:val="0"/>
                <w:sz w:val="24"/>
              </w:rPr>
            </w:pPr>
            <w:r>
              <w:rPr>
                <w:rFonts w:ascii="Times New Roman Regular" w:hAnsi="Times New Roman Regular" w:eastAsia="仿宋_GB2312" w:cs="Times New Roman Regular"/>
                <w:color w:val="auto"/>
                <w:kern w:val="0"/>
                <w:sz w:val="24"/>
              </w:rPr>
              <w:t>3.自治区出台的有关重大事故灾难应急预案、政策及解读，预警防范，目标任务、涉及范围。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w:t>
            </w:r>
            <w:r>
              <w:rPr>
                <w:rFonts w:hint="eastAsia" w:ascii="Times New Roman Regular" w:hAnsi="Times New Roman Regular" w:eastAsia="仿宋_GB2312" w:cs="Times New Roman Regular"/>
                <w:kern w:val="0"/>
                <w:sz w:val="24"/>
              </w:rPr>
              <w:t>重大事故灾害应急处置与救援、次生灾害预警防范等工作情况及动态信息</w:t>
            </w:r>
            <w:r>
              <w:rPr>
                <w:rFonts w:ascii="Times New Roman Regular" w:hAnsi="Times New Roman Regular" w:eastAsia="仿宋_GB2312" w:cs="Times New Roman Regula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审计厅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w:t>
            </w: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竣工有关信息：竣工决算审计单位、审计结论、财务决算金额等竣工有关信息。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外事办</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szCs w:val="22"/>
                <w:lang w:val="en-US" w:eastAsia="zh-CN" w:bidi="ar-SA"/>
              </w:rPr>
            </w:pPr>
            <w:r>
              <w:rPr>
                <w:rFonts w:ascii="Times New Roman Regular" w:hAnsi="Times New Roman Regular" w:eastAsia="仿宋_GB2312" w:cs="Times New Roman Regular"/>
                <w:kern w:val="0"/>
                <w:sz w:val="24"/>
              </w:rPr>
              <w:t>退役军人厅</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szCs w:val="22"/>
                <w:lang w:val="en-US" w:eastAsia="zh-CN" w:bidi="ar-SA"/>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szCs w:val="22"/>
                <w:lang w:val="en-US" w:eastAsia="zh-CN" w:bidi="ar-SA"/>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国资委</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机构职能、领导信息、政务动态、政策文件、政策解读、人事信息、规划计划、财政信息、数据发布、公共资源配置</w:t>
            </w:r>
          </w:p>
        </w:tc>
        <w:tc>
          <w:tcPr>
            <w:tcW w:w="120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除涉及商业秘密外，主要公开进场的国有产权交易决策及批准信息、交易项目信息、转让价格、交易价格、相关中介机构审计结果等信息。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市场监管局</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spacing w:val="-6"/>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1.食品安全标准、食品安全风险警示信息。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2.国家总局监督抽检不合格食品核查处置情况、风险控制情况及自治区查处食品违法案件情况。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3.与食品安全相关的监督抽检的总体信息。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广电局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体育局</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1.自治区出台的公共体育发展政策及解读。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2.公共体育服务体系建设、财政资金投入和使用、设施建设和使用情况。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3.政府购买公共体育服务的目录和内容、绩效评价结果等总体情况；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4.公共体育设施建设种类（名录）、标准和要求、科学健身服务活动、公益性体育赛事和活动、受捐款物管理使用等总体信息。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5.体育彩票公益金筹集、分配、使用情况。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统计局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林业局</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2.建设项目报建批准结果信息：建设项目使用林地及在林业部门管理的自然保护区建设审批（核）结果信息，风景名胜区内建设活动审批结果。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6"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自治区地方金融监管局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自治区人防边海防办</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领导信息、政务动态、政策文件、政策解读、人事信息、数据发布、重大建设项目批准和实施</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p>
          <w:p>
            <w:pPr>
              <w:widowControl/>
              <w:spacing w:line="320" w:lineRule="exact"/>
              <w:jc w:val="both"/>
              <w:rPr>
                <w:rFonts w:ascii="Times New Roman Regular" w:hAnsi="Times New Roman Regular" w:eastAsia="仿宋_GB2312" w:cs="Times New Roman Regular"/>
                <w:kern w:val="0"/>
                <w:sz w:val="24"/>
              </w:rPr>
            </w:pPr>
          </w:p>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2.项目报建批准结果信息：应建防空地下室的民用建筑项目报建审批批准结果信息。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乡村振兴局</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1.财政专项资金分配情况。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2.外资扶贫项目采购和招投标总体信息。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北部湾办</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自治区大数据发展局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自治区机关事务管理局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医保局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自治区粮食和储备局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监狱管理局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海洋局</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1.批准服务信息：申报要求、申报材料清单、批准流程、办理时限、受理机构联系方式、监督举报方式等批准服务信息。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2.项目投资批准结果信息：建设项目用海预审意见批准结果信息。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3.项目报建批准结果信息：</w:t>
            </w:r>
            <w:r>
              <w:rPr>
                <w:rFonts w:hint="default" w:ascii="Times New Roman Regular" w:hAnsi="Times New Roman Regular" w:eastAsia="仿宋_GB2312" w:cs="Times New Roman Regular"/>
                <w:color w:val="auto"/>
                <w:kern w:val="0"/>
                <w:sz w:val="24"/>
              </w:rPr>
              <w:t>海域使用权设立审核、无居民海岛开发利用审核、填海项目竣工海域使用验收审批等批准结果信息</w:t>
            </w:r>
            <w:r>
              <w:rPr>
                <w:rFonts w:ascii="Times New Roman Regular" w:hAnsi="Times New Roman Regular" w:eastAsia="仿宋_GB2312" w:cs="Times New Roman Regular"/>
                <w:color w:val="auto"/>
                <w:kern w:val="0"/>
                <w:sz w:val="24"/>
              </w:rPr>
              <w:t>等批准结果信息。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中医药局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药监局</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机构职能、领导信息、政务动态、政策文件、政策解读、人事信息、规划计划、财政信息、数据发布、社会公益事业建设</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社会公益事业建设</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12</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1.药品安全标准、药品安全风险警示信息。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2.国家总局监督抽检不合格药品核查处置情况、风险控制情况及自治区查处药品违法案件情况。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3.与食品药品安全相关的监督抽检的总体信息。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投资促进局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地矿局</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自治区公共资源交易中心</w:t>
            </w:r>
          </w:p>
        </w:tc>
        <w:tc>
          <w:tcPr>
            <w:tcW w:w="4367" w:type="dxa"/>
            <w:vMerge w:val="restart"/>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机构职能、领导信息、政务动态、政策文件、政策解读、人事信息、规划计划、财政信息、数据发布、重大建设项目批准和实施、公共资源配置</w:t>
            </w: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重大建设项目批准和实施</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1.招标投标信息：资格预审公告、招标公告、中标候选人公示、中标结果公示等招标投标信息。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2.是否通过设置栏目集中公开以上信息。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公共资源配置</w:t>
            </w:r>
          </w:p>
        </w:tc>
        <w:tc>
          <w:tcPr>
            <w:tcW w:w="750" w:type="dxa"/>
            <w:vMerge w:val="restart"/>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6</w:t>
            </w: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1.矿业权出让领域。主要公开全区探矿权和采矿权的出让公告、成交公示等矿业权出让信息。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2.政府采购领域。主要公开采购项目公告、采购文件、采购项目预算金额、采购结果、采购合同等采购项目信息。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3.国有产权交易领域。除涉及商业秘密外，主要公开进场的国有产权交易项目信息，包括交易公告、转让价格、成交公示、交易价格、相关中介机构评估结果等信息。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4.药品和医疗器械采购领域。药品、医用耗材及检验试剂、非免疫规划疫苗的采购项目公告、采购文件、采购结果等采购信息。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4367"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120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750" w:type="dxa"/>
            <w:vMerge w:val="continue"/>
            <w:noWrap w:val="0"/>
            <w:vAlign w:val="center"/>
          </w:tcPr>
          <w:p>
            <w:pPr>
              <w:widowControl/>
              <w:spacing w:line="320" w:lineRule="exact"/>
              <w:jc w:val="left"/>
              <w:rPr>
                <w:rFonts w:ascii="Times New Roman Regular" w:hAnsi="Times New Roman Regular" w:eastAsia="仿宋_GB2312" w:cs="Times New Roman Regular"/>
                <w:kern w:val="0"/>
                <w:sz w:val="24"/>
              </w:rPr>
            </w:pPr>
          </w:p>
        </w:tc>
        <w:tc>
          <w:tcPr>
            <w:tcW w:w="5745" w:type="dxa"/>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5.工程建设项目招标投标领域：招标公告、中标候选人、中标结果等。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农机中心</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中国（广西）自由贸易试验区钦州港片区管委会</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凭祥综合保税区管委会</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东兴试验区管委会</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南宁五象新区管委会</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w:t>
            </w: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供销社</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机构职能、领导信息、政务动态、政策文件、人事信息、政策解读、规划计划、财政信息、数据发布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自治区糖业发展办</w:t>
            </w:r>
          </w:p>
        </w:tc>
        <w:tc>
          <w:tcPr>
            <w:tcW w:w="4367" w:type="dxa"/>
            <w:noWrap w:val="0"/>
            <w:vAlign w:val="center"/>
          </w:tcPr>
          <w:p>
            <w:pPr>
              <w:widowControl/>
              <w:spacing w:line="320" w:lineRule="exact"/>
              <w:jc w:val="left"/>
              <w:rPr>
                <w:rFonts w:ascii="Times New Roman Regular" w:hAnsi="Times New Roman Regular" w:eastAsia="仿宋_GB2312" w:cs="Times New Roman Regular"/>
                <w:kern w:val="0"/>
                <w:sz w:val="24"/>
              </w:rPr>
            </w:pPr>
          </w:p>
          <w:p>
            <w:pPr>
              <w:widowControl/>
              <w:spacing w:line="32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机构职能、领导信息、政务动态、政策文件、政策解读、人事信息、规划计划、财政信息、数据发布</w:t>
            </w:r>
          </w:p>
        </w:tc>
        <w:tc>
          <w:tcPr>
            <w:tcW w:w="7695" w:type="dxa"/>
            <w:gridSpan w:val="3"/>
            <w:noWrap w:val="0"/>
            <w:vAlign w:val="center"/>
          </w:tcPr>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p>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不考核</w:t>
            </w:r>
          </w:p>
        </w:tc>
      </w:tr>
    </w:tbl>
    <w:p>
      <w:pPr>
        <w:adjustRightInd w:val="0"/>
        <w:snapToGrid w:val="0"/>
        <w:spacing w:before="405" w:beforeLines="130" w:after="405" w:afterLines="130" w:line="560" w:lineRule="exact"/>
        <w:jc w:val="center"/>
        <w:outlineLvl w:val="0"/>
        <w:rPr>
          <w:rFonts w:ascii="Times New Roman Regular" w:hAnsi="Times New Roman Regular" w:eastAsia="黑体" w:cs="Times New Roman Regular"/>
          <w:snapToGrid w:val="0"/>
          <w:sz w:val="32"/>
          <w:szCs w:val="32"/>
        </w:rPr>
      </w:pPr>
      <w:r>
        <w:rPr>
          <w:rFonts w:ascii="Times New Roman Regular" w:hAnsi="Times New Roman Regular" w:eastAsia="黑体" w:cs="Times New Roman Regular"/>
          <w:snapToGrid w:val="0"/>
          <w:sz w:val="32"/>
          <w:szCs w:val="32"/>
        </w:rPr>
        <w:br w:type="page"/>
      </w:r>
      <w:r>
        <w:rPr>
          <w:rFonts w:ascii="Times New Roman Regular" w:hAnsi="Times New Roman Regular" w:eastAsia="黑体" w:cs="Times New Roman Regular"/>
          <w:snapToGrid w:val="0"/>
          <w:sz w:val="32"/>
          <w:szCs w:val="32"/>
        </w:rPr>
        <w:t>附录2  自治区部门</w:t>
      </w:r>
      <w:r>
        <w:rPr>
          <w:rFonts w:hint="eastAsia" w:ascii="Times New Roman Regular" w:hAnsi="Times New Roman Regular" w:eastAsia="黑体" w:cs="Times New Roman Regular"/>
          <w:snapToGrid w:val="0"/>
          <w:sz w:val="32"/>
          <w:szCs w:val="32"/>
          <w:lang w:val="en-US" w:eastAsia="zh-CN"/>
        </w:rPr>
        <w:t>网站</w:t>
      </w:r>
      <w:r>
        <w:rPr>
          <w:rFonts w:ascii="Times New Roman Regular" w:hAnsi="Times New Roman Regular" w:eastAsia="黑体" w:cs="Times New Roman Regular"/>
          <w:snapToGrid w:val="0"/>
          <w:sz w:val="32"/>
          <w:szCs w:val="32"/>
        </w:rPr>
        <w:t>便民服务事项目录</w:t>
      </w:r>
    </w:p>
    <w:tbl>
      <w:tblPr>
        <w:tblStyle w:val="5"/>
        <w:tblW w:w="13307" w:type="dxa"/>
        <w:jc w:val="center"/>
        <w:tblLayout w:type="autofit"/>
        <w:tblCellMar>
          <w:top w:w="0" w:type="dxa"/>
          <w:left w:w="108" w:type="dxa"/>
          <w:bottom w:w="0" w:type="dxa"/>
          <w:right w:w="108" w:type="dxa"/>
        </w:tblCellMar>
      </w:tblPr>
      <w:tblGrid>
        <w:gridCol w:w="3180"/>
        <w:gridCol w:w="10127"/>
      </w:tblGrid>
      <w:tr>
        <w:tblPrEx>
          <w:tblCellMar>
            <w:top w:w="0" w:type="dxa"/>
            <w:left w:w="108" w:type="dxa"/>
            <w:bottom w:w="0" w:type="dxa"/>
            <w:right w:w="108" w:type="dxa"/>
          </w:tblCellMar>
        </w:tblPrEx>
        <w:trPr>
          <w:trHeight w:val="300" w:hRule="atLeast"/>
          <w:tblHeader/>
          <w:jc w:val="center"/>
        </w:trPr>
        <w:tc>
          <w:tcPr>
            <w:tcW w:w="3180"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b/>
                <w:bCs/>
                <w:kern w:val="0"/>
                <w:sz w:val="24"/>
              </w:rPr>
            </w:pPr>
            <w:r>
              <w:rPr>
                <w:rFonts w:ascii="Times New Roman Regular" w:hAnsi="Times New Roman Regular" w:eastAsia="仿宋_GB2312" w:cs="Times New Roman Regular"/>
                <w:b/>
                <w:bCs/>
                <w:kern w:val="0"/>
                <w:sz w:val="24"/>
              </w:rPr>
              <w:t>部门</w:t>
            </w:r>
          </w:p>
        </w:tc>
        <w:tc>
          <w:tcPr>
            <w:tcW w:w="10127" w:type="dxa"/>
            <w:tcBorders>
              <w:top w:val="single" w:color="000000" w:sz="8" w:space="0"/>
              <w:left w:val="nil"/>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b/>
                <w:bCs/>
                <w:kern w:val="0"/>
                <w:sz w:val="24"/>
              </w:rPr>
            </w:pPr>
            <w:r>
              <w:rPr>
                <w:rFonts w:ascii="Times New Roman Regular" w:hAnsi="Times New Roman Regular" w:eastAsia="仿宋_GB2312" w:cs="Times New Roman Regular"/>
                <w:b/>
                <w:bCs/>
                <w:kern w:val="0"/>
                <w:sz w:val="24"/>
              </w:rPr>
              <w:t>便民服务事项目录</w:t>
            </w:r>
          </w:p>
        </w:tc>
      </w:tr>
      <w:tr>
        <w:tblPrEx>
          <w:tblCellMar>
            <w:top w:w="0" w:type="dxa"/>
            <w:left w:w="108" w:type="dxa"/>
            <w:bottom w:w="0" w:type="dxa"/>
            <w:right w:w="108" w:type="dxa"/>
          </w:tblCellMar>
        </w:tblPrEx>
        <w:trPr>
          <w:trHeight w:val="239"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自治区发展改革委</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重大建设项目查询、价格行政事业性收费查询服务的整合提供情况。</w:t>
            </w:r>
          </w:p>
        </w:tc>
      </w:tr>
      <w:tr>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自治区教育厅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高等教育学校查询、招考流程与招生人数、高考报名与志愿填报、特长生招考、考生加分资格认定、职业教育机构查询、继续教育机构查询、特殊教育机构查询等服务的整合提供情况。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自治区科技厅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科技项目查询、高新技术企业查询、科技企业孵化器查询、高新区查询、高新技术特色产业基地查询、获奖项目查询、科技成果查询等服务的整合提供情况。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自治区工业和信息化厅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自治区企业技术中心查询、工业园区查询、工业产品价格查询等服务的整合提供情况。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自治区民宗委</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民族用品定点企业查询、民族传统体育项目查询等服务的整合提供情况。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自治区公安厅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机动车辆违章查询、驾驶员记分查询、保安服务组织查询、交通路况等服务的整合提供情况。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自治区民政厅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行政区划查询、社会团体查询、民办非企业单位查询、假肢和矫形器（辅助器具）生产装配企业查询、城乡最低生活保障待遇查询、</w:t>
            </w:r>
            <w:r>
              <w:rPr>
                <w:rFonts w:hint="eastAsia" w:ascii="Times New Roman Regular" w:hAnsi="Times New Roman Regular" w:eastAsia="仿宋_GB2312" w:cs="Times New Roman Regular"/>
                <w:kern w:val="0"/>
                <w:sz w:val="24"/>
              </w:rPr>
              <w:t>特困人员救助供养标准查询</w:t>
            </w:r>
            <w:r>
              <w:rPr>
                <w:rFonts w:ascii="Times New Roman Regular" w:hAnsi="Times New Roman Regular" w:eastAsia="仿宋_GB2312" w:cs="Times New Roman Regular"/>
                <w:kern w:val="0"/>
                <w:sz w:val="24"/>
              </w:rPr>
              <w:t>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自治区司法厅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国家统一法律职业资格考试、律师事务所查询、公证处查询、司法鉴定机构查询、律师查询、公证员查询等服务的整合提供情况。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自治区财政厅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行政事业性收费清单查询、注册会计师信息查询、政府采购代理机构查询、注册资产评估师信息查询、资产评估机构资格查询等服务提供相应链接情况。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自治区人力资源社会保障厅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民办职业培训学校查询、职业技能鉴定机构查询、技工学校查询、职业介绍机构查询、专业技术考试成绩查询等服务的提供情况。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自治区自然资源厅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地质灾害资质单位查询、土地评估机构查询、地质资料查询、地质灾害预警、测绘资质证书查询、标准地图等服务的整合提供情况。</w:t>
            </w:r>
          </w:p>
        </w:tc>
      </w:tr>
      <w:tr>
        <w:tblPrEx>
          <w:tblCellMar>
            <w:top w:w="0" w:type="dxa"/>
            <w:left w:w="108" w:type="dxa"/>
            <w:bottom w:w="0" w:type="dxa"/>
            <w:right w:w="108" w:type="dxa"/>
          </w:tblCellMar>
        </w:tblPrEx>
        <w:trPr>
          <w:trHeight w:val="57"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自治区生态环境厅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空气质量报告、水环境报告、环境影响评价机构查询、环保达标车型目录查询等服务的整合提供情况。</w:t>
            </w:r>
          </w:p>
        </w:tc>
      </w:tr>
      <w:tr>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自治区住房城乡建设厅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建设工程施工企业查询、工程勘察单位查询、工程设计单位查询、工程监理单位查询、工程质量检测单位查询、施工图设计文件审查机构查询、工程造价咨询单位查询、二级注册结构工程师查询、二级建造师查询、房地产估价机构查询、城市房地产开发企业查询、物业服务企业查询、燃气经营企业查询、住房公积金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自治区交通运输厅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公路水运工程建设项目招投标信息查询、公路养护工程从业资质查询、内地与港澳普通货物运输企业查询、危险化学品水路运输装卸管理人员资格查询、道路客运班线查询等服务的整合提供情况。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自治区水利厅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水情查询、水库大坝水闸查询等服务的整合提供情况。</w:t>
            </w:r>
          </w:p>
        </w:tc>
      </w:tr>
      <w:tr>
        <w:tblPrEx>
          <w:tblCellMar>
            <w:top w:w="0" w:type="dxa"/>
            <w:left w:w="108" w:type="dxa"/>
            <w:bottom w:w="0" w:type="dxa"/>
            <w:right w:w="108" w:type="dxa"/>
          </w:tblCellMar>
        </w:tblPrEx>
        <w:trPr>
          <w:trHeight w:val="361"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自治区农业农村厅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农作物种子生产经营许可证获证企业查询、种子经营许可证获证企业查询、农业转基因生物加工许可证获证企业查询、蚕种生产（经营）许可证获证企业查询、农作物种子和食用菌菌种质量检验机构查询、农作物种子经营许可证获证企业查询、农产品市场行情与供求信息、兽医执业资格查询、饲料和饲料添加剂生产企业查询、水产畜牧产品质量安全检测机构资质查询、种畜禽场名录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自治区商务厅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拍卖企业查询、报废汽车回收拆解企业查询、国际货物运输代理企业查询、主要生活必需品市场监测数据查询等服务的整合提供情况。</w:t>
            </w:r>
          </w:p>
        </w:tc>
      </w:tr>
      <w:tr>
        <w:tblPrEx>
          <w:tblCellMar>
            <w:top w:w="0" w:type="dxa"/>
            <w:left w:w="108" w:type="dxa"/>
            <w:bottom w:w="0" w:type="dxa"/>
            <w:right w:w="108" w:type="dxa"/>
          </w:tblCellMar>
        </w:tblPrEx>
        <w:trPr>
          <w:trHeight w:val="302"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自治区文化和旅游厅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非物质文化遗产查询、文物保护工程单位资质查询、公共图书馆查询、文化馆（站）查询、纪念馆查询、博物馆查询、社会艺术水平考级机构查询、互联网文化单位查询、营业性演出经纪机构查询、重点文物保护单位名录、旅游景点景区查询、旅行社名录、星级饭店一览表、导游员个人信息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自治区卫生健康委</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医疗机构查询、母婴保健技术服务机构查询、已获批准开展人类辅助生殖技术医疗机构查询、医疗广告审查证明名单查询、血站站点查询、职业病健康检查和诊断机构查询、基本药物目录、执业医师查询、注册护士查询、预防接种单位查询、计划生育相关假期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自治区应急厅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第一类非药品类易制毒化学品生产企业查询、第一类非药品类易制毒化学品经营企业查询、安全生产中介机构（安全评价、安全检测检验机构）资质查询、非煤矿山安全生产许可证获证企业查询、危险化学品安全生产许可证获证企业查询、烟花爆竹安全生产许可证获证企业查询、矿山救护队质量标准化等级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自治区审计厅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审计结果公告、审计专业资格考试、特约审计监督员名单等服务的整合提供情况。</w:t>
            </w:r>
          </w:p>
        </w:tc>
      </w:tr>
      <w:tr>
        <w:tblPrEx>
          <w:tblCellMar>
            <w:top w:w="0" w:type="dxa"/>
            <w:left w:w="108" w:type="dxa"/>
            <w:bottom w:w="0" w:type="dxa"/>
            <w:right w:w="108" w:type="dxa"/>
          </w:tblCellMar>
        </w:tblPrEx>
        <w:trPr>
          <w:trHeight w:val="125"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自治区外事办</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友好城市名录、出入境提醒、外国驻南宁领事机构和商务联络处查询、礼宾礼仪等服务的整合提供情况。</w:t>
            </w:r>
          </w:p>
        </w:tc>
      </w:tr>
      <w:tr>
        <w:tblPrEx>
          <w:tblCellMar>
            <w:top w:w="0" w:type="dxa"/>
            <w:left w:w="108" w:type="dxa"/>
            <w:bottom w:w="0" w:type="dxa"/>
            <w:right w:w="108" w:type="dxa"/>
          </w:tblCellMar>
        </w:tblPrEx>
        <w:trPr>
          <w:trHeight w:val="125"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szCs w:val="22"/>
                <w:lang w:val="en-US" w:eastAsia="zh-CN" w:bidi="ar-SA"/>
              </w:rPr>
            </w:pPr>
            <w:r>
              <w:rPr>
                <w:rFonts w:ascii="Times New Roman Regular" w:hAnsi="Times New Roman Regular" w:eastAsia="仿宋_GB2312" w:cs="Times New Roman Regular"/>
                <w:kern w:val="0"/>
                <w:sz w:val="24"/>
              </w:rPr>
              <w:t>自治区退役军人厅</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szCs w:val="22"/>
                <w:lang w:val="en-US" w:eastAsia="zh-CN" w:bidi="ar-SA"/>
              </w:rPr>
            </w:pPr>
            <w:r>
              <w:rPr>
                <w:rFonts w:ascii="Times New Roman Regular" w:hAnsi="Times New Roman Regular" w:eastAsia="仿宋_GB2312" w:cs="Times New Roman Regular"/>
                <w:kern w:val="0"/>
                <w:sz w:val="24"/>
              </w:rPr>
              <w:t>军转干部安置指南、退役士兵安置指南、优待抚恤标准查询、烈士纪念设施查询等服务的整合提供情况。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自治区国资委</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监管企业名录、国有资产产权交易信息等服务的整合提供情况。</w:t>
            </w:r>
          </w:p>
        </w:tc>
      </w:tr>
      <w:tr>
        <w:tblPrEx>
          <w:tblCellMar>
            <w:top w:w="0" w:type="dxa"/>
            <w:left w:w="108" w:type="dxa"/>
            <w:bottom w:w="0" w:type="dxa"/>
            <w:right w:w="108" w:type="dxa"/>
          </w:tblCellMar>
        </w:tblPrEx>
        <w:trPr>
          <w:trHeight w:val="125"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自治区市场监管局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企业信用信息查询、名称预查询、企业基本信息查询、驰著名商标、地理标志证明商标查询、</w:t>
            </w:r>
            <w:r>
              <w:rPr>
                <w:rFonts w:hint="eastAsia" w:ascii="Times New Roman Regular" w:hAnsi="Times New Roman Regular" w:eastAsia="仿宋_GB2312" w:cs="Times New Roman Regular"/>
                <w:kern w:val="0"/>
                <w:sz w:val="24"/>
              </w:rPr>
              <w:t>守合同重信用公示企业查询、合同示范文本下载</w:t>
            </w:r>
            <w:r>
              <w:rPr>
                <w:rFonts w:ascii="Times New Roman Regular" w:hAnsi="Times New Roman Regular" w:eastAsia="仿宋_GB2312" w:cs="Times New Roman Regular"/>
                <w:kern w:val="0"/>
                <w:sz w:val="24"/>
              </w:rPr>
              <w:t>、特种设备安装改造维修单位查询、特种设备检验检测机构查询、</w:t>
            </w:r>
            <w:r>
              <w:rPr>
                <w:rFonts w:hint="eastAsia" w:ascii="Times New Roman Regular" w:hAnsi="Times New Roman Regular" w:eastAsia="仿宋_GB2312" w:cs="Times New Roman Regular"/>
                <w:kern w:val="0"/>
                <w:sz w:val="24"/>
              </w:rPr>
              <w:t>计量器具型式批准证书获证企业查询</w:t>
            </w:r>
            <w:r>
              <w:rPr>
                <w:rFonts w:ascii="Times New Roman Regular" w:hAnsi="Times New Roman Regular" w:eastAsia="仿宋_GB2312" w:cs="Times New Roman Regular"/>
                <w:kern w:val="0"/>
                <w:sz w:val="24"/>
              </w:rPr>
              <w:t>、特种设备作业人员信息查询、特种设备检验检测人员信息查询、名牌产品查询、食品生产企业查询、食品经营企业查询、网络食品交易第三方平台提供者查询、通过自建网站交易的食品生产经营者查询、食品小作坊查询、小餐饮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自治区广电局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电视剧制作许可证查询、卫星地面接收设施安装服务机构查询等服务的整合提供情况。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自治区体育局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体育健身设施查询、运动员技术等级查询、裁判员技术等级查询等服务的整合提供情况。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自治区统计局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涉外统计调查机构资格查询、统计常识与标准等服务的整合提供情况。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自治区林业局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地方重点保护野生植物名录、地方陆生野生重点保护动物名录、森林公园查询、林业自然保护区查询等服务的整合提供情况。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自治区地方金融监管局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小额贷款公司查询、融资性担保机构查询、典当行查询等服务的整合提供情况。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自治区人防边海防办</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防空防灾知识、防空警报等服务的整合提供情况。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自治区乡村振兴局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自治区巩固拓展脱贫攻坚成果和乡村振兴项目查询服务的整合提供情况。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自治区北部湾办</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广西北部湾经济重大发展战略规划和政策查询的提供情况。</w:t>
            </w:r>
          </w:p>
        </w:tc>
      </w:tr>
      <w:tr>
        <w:tblPrEx>
          <w:tblCellMar>
            <w:top w:w="0" w:type="dxa"/>
            <w:left w:w="108" w:type="dxa"/>
            <w:bottom w:w="0" w:type="dxa"/>
            <w:right w:w="108" w:type="dxa"/>
          </w:tblCellMar>
        </w:tblPrEx>
        <w:trPr>
          <w:trHeight w:val="191"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自治区大数据发展局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政务数据资源开放目录查询、财政专项资金投资计划查询、全区数字经济运行分析查询等服务的整合提供情况。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自治区机关事务管理局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自治区机关车辆定点维修点查询、自治区机关车辆定点加油站查询、自治区公共机构能耗统计数据查询等服务的整合提供情况。</w:t>
            </w:r>
          </w:p>
        </w:tc>
      </w:tr>
      <w:tr>
        <w:tblPrEx>
          <w:tblCellMar>
            <w:top w:w="0" w:type="dxa"/>
            <w:left w:w="108" w:type="dxa"/>
            <w:bottom w:w="0" w:type="dxa"/>
            <w:right w:w="108" w:type="dxa"/>
          </w:tblCellMar>
        </w:tblPrEx>
        <w:trPr>
          <w:trHeight w:val="244"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自治区医保局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医保定点机构查询、医疗服务项目价格查询、医疗服务设施收费查询、定点医药机构服务评价考核信息查询、城乡医疗保障待遇查询等服务的整合提供情况。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自治区粮食和储备局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粮油市场行情查询、粮食收购资格查询等服务的整合提供情况。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自治区监狱管理局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监狱查询等服务的整合提供情况。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自治区海洋局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hint="eastAsia" w:ascii="Times New Roman Regular" w:hAnsi="Times New Roman Regular" w:eastAsia="仿宋_GB2312" w:cs="Times New Roman Regular"/>
                <w:kern w:val="0"/>
                <w:sz w:val="24"/>
              </w:rPr>
              <w:t>海洋预报和海洋预警查询</w:t>
            </w:r>
            <w:r>
              <w:rPr>
                <w:rFonts w:ascii="Times New Roman Regular" w:hAnsi="Times New Roman Regular" w:eastAsia="仿宋_GB2312" w:cs="Times New Roman Regular"/>
                <w:kern w:val="0"/>
                <w:sz w:val="24"/>
              </w:rPr>
              <w:t>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自治区中医药局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区域中医诊疗中心查询、三级中医医院查询、中医医师信息查询等服务的整合提供情况。</w:t>
            </w:r>
          </w:p>
        </w:tc>
      </w:tr>
      <w:tr>
        <w:tblPrEx>
          <w:tblCellMar>
            <w:top w:w="0" w:type="dxa"/>
            <w:left w:w="108" w:type="dxa"/>
            <w:bottom w:w="0" w:type="dxa"/>
            <w:right w:w="108" w:type="dxa"/>
          </w:tblCellMar>
        </w:tblPrEx>
        <w:trPr>
          <w:trHeight w:val="430"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自治区药监局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药品生产企业查询、药品经营企业查询、互联网药品交易服务企业查询、执业药师注册查询、药品医疗器械保健食品广告企业查询、化妆品生产企业查询等服务的整合提供情况。</w:t>
            </w:r>
          </w:p>
        </w:tc>
      </w:tr>
      <w:tr>
        <w:tblPrEx>
          <w:tblCellMar>
            <w:top w:w="0" w:type="dxa"/>
            <w:left w:w="108" w:type="dxa"/>
            <w:bottom w:w="0" w:type="dxa"/>
            <w:right w:w="108" w:type="dxa"/>
          </w:tblCellMar>
        </w:tblPrEx>
        <w:trPr>
          <w:trHeight w:val="63"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自治区投资促进局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招商环境、招商项目库、招商活动等服务的整合提供情况。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自治区地矿局</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地质科普、局属地勘单位资质查询等服务的整合提供情况。</w:t>
            </w:r>
          </w:p>
        </w:tc>
      </w:tr>
      <w:tr>
        <w:tblPrEx>
          <w:tblCellMar>
            <w:top w:w="0" w:type="dxa"/>
            <w:left w:w="108" w:type="dxa"/>
            <w:bottom w:w="0" w:type="dxa"/>
            <w:right w:w="108" w:type="dxa"/>
          </w:tblCellMar>
        </w:tblPrEx>
        <w:trPr>
          <w:trHeight w:val="233"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自治区公共资源交易中心</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交易信息实时播报、交易主体信息查询、信用信息查询、开标计划安排查询、供应商企业登记指南、供应商投标指南等服务的整合提供情况。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自治区农机中心</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农业机械驾驶培训学校（培训班）查询、补贴机具查询、补贴机具补贴额查询等服务的整合提供情况。</w:t>
            </w:r>
          </w:p>
        </w:tc>
      </w:tr>
      <w:tr>
        <w:tblPrEx>
          <w:tblCellMar>
            <w:top w:w="0" w:type="dxa"/>
            <w:left w:w="108" w:type="dxa"/>
            <w:bottom w:w="0" w:type="dxa"/>
            <w:right w:w="108" w:type="dxa"/>
          </w:tblCellMar>
        </w:tblPrEx>
        <w:trPr>
          <w:trHeight w:val="302"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240" w:lineRule="auto"/>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中国（广西）自由贸易试验区钦州港片区管委会</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入区企业查询、投资环境、招商项目等服务的整合提供情况。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凭祥综合保税区管委会</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入区企业查询、投资环境、招商项目等服务的整合提供情况。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东兴试验区管委会</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入区企业查询、投资环境、招商项目等服务的整合提供情况。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南宁五象新区管委会</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hint="eastAsia" w:ascii="Times New Roman Regular" w:hAnsi="Times New Roman Regular" w:eastAsia="仿宋_GB2312" w:cs="Times New Roman Regular"/>
                <w:kern w:val="0"/>
                <w:sz w:val="24"/>
              </w:rPr>
              <w:t>投资环境等服务的整合提供情况。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自治区供销社</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社有企业信息查询、重要农产品购销查询等服务的整合提供情况。</w:t>
            </w:r>
          </w:p>
        </w:tc>
      </w:tr>
      <w:tr>
        <w:tblPrEx>
          <w:tblCellMar>
            <w:top w:w="0" w:type="dxa"/>
            <w:left w:w="108" w:type="dxa"/>
            <w:bottom w:w="0" w:type="dxa"/>
            <w:right w:w="108" w:type="dxa"/>
          </w:tblCellMar>
        </w:tblPrEx>
        <w:trPr>
          <w:trHeight w:val="46" w:hRule="atLeast"/>
          <w:jc w:val="center"/>
        </w:trPr>
        <w:tc>
          <w:tcPr>
            <w:tcW w:w="3180" w:type="dxa"/>
            <w:tcBorders>
              <w:top w:val="nil"/>
              <w:left w:val="single" w:color="000000" w:sz="8" w:space="0"/>
              <w:bottom w:val="single" w:color="000000" w:sz="8" w:space="0"/>
              <w:right w:val="single" w:color="000000" w:sz="8" w:space="0"/>
            </w:tcBorders>
            <w:noWrap w:val="0"/>
            <w:vAlign w:val="center"/>
          </w:tcPr>
          <w:p>
            <w:pPr>
              <w:widowControl/>
              <w:spacing w:line="320" w:lineRule="exact"/>
              <w:jc w:val="center"/>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自治区糖业发展办</w:t>
            </w:r>
          </w:p>
        </w:tc>
        <w:tc>
          <w:tcPr>
            <w:tcW w:w="10127" w:type="dxa"/>
            <w:tcBorders>
              <w:top w:val="nil"/>
              <w:left w:val="nil"/>
              <w:bottom w:val="single" w:color="000000" w:sz="8" w:space="0"/>
              <w:right w:val="single" w:color="000000" w:sz="8" w:space="0"/>
            </w:tcBorders>
            <w:noWrap w:val="0"/>
            <w:vAlign w:val="center"/>
          </w:tcPr>
          <w:p>
            <w:pPr>
              <w:widowControl/>
              <w:spacing w:line="320" w:lineRule="exact"/>
              <w:jc w:val="both"/>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糖业损害预警预测信息、糖料蔗相关补贴政策查询、糖业项目查询等服务的整合提供情况。</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jhhNjYzMGMxNDZmMmU0NWQ3ZjVmNGU3NzNmZjIifQ=="/>
  </w:docVars>
  <w:rsids>
    <w:rsidRoot w:val="22341D25"/>
    <w:rsid w:val="2234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Calibri" w:hAnsi="Calibri" w:eastAsia="宋体" w:cs="Times New Roman"/>
      <w:sz w:val="21"/>
      <w:szCs w:val="24"/>
    </w:rPr>
  </w:style>
  <w:style w:type="paragraph" w:styleId="3">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4">
    <w:name w:val="footer"/>
    <w:basedOn w:val="1"/>
    <w:qFormat/>
    <w:uiPriority w:val="0"/>
    <w:pPr>
      <w:tabs>
        <w:tab w:val="center" w:pos="4153"/>
        <w:tab w:val="right" w:pos="8306"/>
      </w:tabs>
      <w:snapToGrid w:val="0"/>
      <w:jc w:val="left"/>
    </w:pPr>
    <w:rPr>
      <w:rFonts w:eastAsia="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2023-05-12T01:45:00Z</dcterms:created>
  <dc:creator>≡ω≡</dc:creator>
  <cp:lastModifiedBy>≡ω≡</cp:lastModifiedBy>
  <dcterms:modified xsi:type="dcterms:W3CDTF">2023-05-12T01:46:52Z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0D0863103DCD4158877799F63882D924_11</vt:lpwstr>
  </property>
</Properties>
</file>